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8" w:rsidRPr="00FE00D1" w:rsidRDefault="00FE00D1" w:rsidP="005672C8">
      <w:pPr>
        <w:adjustRightInd w:val="0"/>
        <w:snapToGrid w:val="0"/>
        <w:spacing w:afterLines="30" w:line="520" w:lineRule="exact"/>
        <w:jc w:val="center"/>
        <w:rPr>
          <w:rFonts w:ascii="Times New Romans" w:eastAsia="方正小标宋简体" w:hAnsi="Times New Romans"/>
          <w:sz w:val="32"/>
          <w:szCs w:val="32"/>
        </w:rPr>
      </w:pPr>
      <w:r>
        <w:rPr>
          <w:rFonts w:ascii="Times New Romans" w:eastAsia="方正小标宋简体" w:hAnsi="Times New Romans" w:hint="eastAsia"/>
          <w:sz w:val="32"/>
          <w:szCs w:val="32"/>
        </w:rPr>
        <w:t>2017</w:t>
      </w:r>
      <w:r>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58"/>
        <w:gridCol w:w="1134"/>
        <w:gridCol w:w="1418"/>
        <w:gridCol w:w="1560"/>
        <w:gridCol w:w="1136"/>
        <w:gridCol w:w="423"/>
        <w:gridCol w:w="732"/>
        <w:gridCol w:w="1678"/>
      </w:tblGrid>
      <w:tr w:rsidR="00B03318">
        <w:trPr>
          <w:trHeight w:val="462"/>
        </w:trPr>
        <w:tc>
          <w:tcPr>
            <w:tcW w:w="9039" w:type="dxa"/>
            <w:gridSpan w:val="8"/>
            <w:vAlign w:val="center"/>
          </w:tcPr>
          <w:p w:rsidR="00B03318" w:rsidRDefault="00D92697">
            <w:pPr>
              <w:rPr>
                <w:rFonts w:ascii="宋体" w:hAnsi="宋体"/>
                <w:color w:val="993300"/>
                <w:sz w:val="24"/>
                <w:szCs w:val="24"/>
              </w:rPr>
            </w:pPr>
            <w:r>
              <w:rPr>
                <w:rFonts w:ascii="宋体" w:hAnsi="宋体" w:hint="eastAsia"/>
                <w:sz w:val="24"/>
                <w:szCs w:val="24"/>
              </w:rPr>
              <w:t>一、基本信息</w:t>
            </w:r>
          </w:p>
        </w:tc>
      </w:tr>
      <w:tr w:rsidR="00B03318">
        <w:trPr>
          <w:trHeight w:val="462"/>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学校</w:t>
            </w:r>
          </w:p>
        </w:tc>
        <w:tc>
          <w:tcPr>
            <w:tcW w:w="6947" w:type="dxa"/>
            <w:gridSpan w:val="6"/>
            <w:vAlign w:val="center"/>
          </w:tcPr>
          <w:p w:rsidR="00B03318" w:rsidRDefault="00D90CE2" w:rsidP="00D90CE2">
            <w:pPr>
              <w:jc w:val="center"/>
              <w:rPr>
                <w:rFonts w:ascii="宋体" w:hAnsi="宋体"/>
                <w:color w:val="993300"/>
                <w:sz w:val="24"/>
                <w:szCs w:val="24"/>
              </w:rPr>
            </w:pPr>
            <w:r>
              <w:rPr>
                <w:rFonts w:ascii="宋体" w:hAnsi="宋体" w:hint="eastAsia"/>
                <w:color w:val="993300"/>
                <w:sz w:val="24"/>
                <w:szCs w:val="24"/>
              </w:rPr>
              <w:t>金华市环城</w:t>
            </w:r>
            <w:r w:rsidR="00203358">
              <w:rPr>
                <w:rFonts w:ascii="宋体" w:hAnsi="宋体" w:hint="eastAsia"/>
                <w:color w:val="993300"/>
                <w:sz w:val="24"/>
                <w:szCs w:val="24"/>
              </w:rPr>
              <w:t>小学教育集团第二小学</w:t>
            </w:r>
          </w:p>
        </w:tc>
      </w:tr>
      <w:tr w:rsidR="00B03318">
        <w:trPr>
          <w:trHeight w:val="455"/>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课名</w:t>
            </w:r>
          </w:p>
        </w:tc>
        <w:tc>
          <w:tcPr>
            <w:tcW w:w="4114" w:type="dxa"/>
            <w:gridSpan w:val="3"/>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应对策略</w:t>
            </w:r>
          </w:p>
        </w:tc>
        <w:tc>
          <w:tcPr>
            <w:tcW w:w="1155" w:type="dxa"/>
            <w:gridSpan w:val="2"/>
            <w:vAlign w:val="center"/>
          </w:tcPr>
          <w:p w:rsidR="00B03318" w:rsidRDefault="00D92697">
            <w:pPr>
              <w:jc w:val="center"/>
              <w:rPr>
                <w:rFonts w:ascii="宋体" w:hAnsi="宋体"/>
                <w:sz w:val="24"/>
                <w:szCs w:val="24"/>
              </w:rPr>
            </w:pPr>
            <w:r>
              <w:rPr>
                <w:rFonts w:ascii="宋体" w:hAnsi="宋体" w:hint="eastAsia"/>
                <w:sz w:val="24"/>
                <w:szCs w:val="24"/>
              </w:rPr>
              <w:t>教师姓名</w:t>
            </w:r>
          </w:p>
        </w:tc>
        <w:tc>
          <w:tcPr>
            <w:tcW w:w="1678" w:type="dxa"/>
            <w:vAlign w:val="center"/>
          </w:tcPr>
          <w:p w:rsidR="00B03318" w:rsidRDefault="00D90CE2">
            <w:pPr>
              <w:jc w:val="center"/>
              <w:rPr>
                <w:rFonts w:ascii="宋体" w:hAnsi="宋体"/>
                <w:color w:val="993300"/>
                <w:sz w:val="24"/>
                <w:szCs w:val="24"/>
              </w:rPr>
            </w:pPr>
            <w:r>
              <w:rPr>
                <w:rFonts w:ascii="宋体" w:hAnsi="宋体" w:hint="eastAsia"/>
                <w:color w:val="993300"/>
                <w:sz w:val="24"/>
                <w:szCs w:val="24"/>
              </w:rPr>
              <w:t>郑川</w:t>
            </w:r>
          </w:p>
        </w:tc>
      </w:tr>
      <w:tr w:rsidR="00B03318">
        <w:trPr>
          <w:trHeight w:val="455"/>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学科（版本）</w:t>
            </w:r>
          </w:p>
        </w:tc>
        <w:tc>
          <w:tcPr>
            <w:tcW w:w="4114" w:type="dxa"/>
            <w:gridSpan w:val="3"/>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人教版数学四年级第七册</w:t>
            </w:r>
          </w:p>
        </w:tc>
        <w:tc>
          <w:tcPr>
            <w:tcW w:w="1155" w:type="dxa"/>
            <w:gridSpan w:val="2"/>
            <w:vAlign w:val="center"/>
          </w:tcPr>
          <w:p w:rsidR="00B03318" w:rsidRDefault="00D92697">
            <w:pPr>
              <w:jc w:val="center"/>
              <w:rPr>
                <w:rFonts w:ascii="宋体" w:hAnsi="宋体"/>
                <w:sz w:val="24"/>
                <w:szCs w:val="24"/>
              </w:rPr>
            </w:pPr>
            <w:r>
              <w:rPr>
                <w:rFonts w:ascii="宋体" w:hAnsi="宋体" w:hint="eastAsia"/>
                <w:sz w:val="24"/>
                <w:szCs w:val="24"/>
              </w:rPr>
              <w:t>章节</w:t>
            </w:r>
          </w:p>
        </w:tc>
        <w:tc>
          <w:tcPr>
            <w:tcW w:w="1678" w:type="dxa"/>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第八章数学广角</w:t>
            </w:r>
          </w:p>
        </w:tc>
      </w:tr>
      <w:tr w:rsidR="00B03318">
        <w:trPr>
          <w:trHeight w:val="461"/>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学时</w:t>
            </w:r>
          </w:p>
        </w:tc>
        <w:tc>
          <w:tcPr>
            <w:tcW w:w="4114" w:type="dxa"/>
            <w:gridSpan w:val="3"/>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第一学时</w:t>
            </w:r>
          </w:p>
        </w:tc>
        <w:tc>
          <w:tcPr>
            <w:tcW w:w="1155" w:type="dxa"/>
            <w:gridSpan w:val="2"/>
            <w:vAlign w:val="center"/>
          </w:tcPr>
          <w:p w:rsidR="00B03318" w:rsidRDefault="00D92697">
            <w:pPr>
              <w:jc w:val="center"/>
              <w:rPr>
                <w:rFonts w:ascii="宋体" w:hAnsi="宋体"/>
                <w:sz w:val="24"/>
                <w:szCs w:val="24"/>
              </w:rPr>
            </w:pPr>
            <w:r>
              <w:rPr>
                <w:rFonts w:ascii="宋体" w:hAnsi="宋体" w:hint="eastAsia"/>
                <w:sz w:val="24"/>
                <w:szCs w:val="24"/>
              </w:rPr>
              <w:t>年级</w:t>
            </w:r>
          </w:p>
        </w:tc>
        <w:tc>
          <w:tcPr>
            <w:tcW w:w="1678" w:type="dxa"/>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四年级</w:t>
            </w:r>
          </w:p>
        </w:tc>
      </w:tr>
      <w:tr w:rsidR="00B03318">
        <w:trPr>
          <w:trHeight w:val="2107"/>
        </w:trPr>
        <w:tc>
          <w:tcPr>
            <w:tcW w:w="9039" w:type="dxa"/>
            <w:gridSpan w:val="8"/>
            <w:vAlign w:val="center"/>
          </w:tcPr>
          <w:p w:rsidR="00B03318" w:rsidRDefault="00D92697">
            <w:pPr>
              <w:rPr>
                <w:rFonts w:ascii="宋体" w:hAnsi="宋体"/>
                <w:sz w:val="24"/>
                <w:szCs w:val="24"/>
              </w:rPr>
            </w:pPr>
            <w:r>
              <w:rPr>
                <w:rFonts w:ascii="宋体" w:hAnsi="宋体" w:hint="eastAsia"/>
                <w:sz w:val="24"/>
                <w:szCs w:val="24"/>
              </w:rPr>
              <w:t>二、教学目标</w:t>
            </w:r>
          </w:p>
          <w:p w:rsidR="00B03318" w:rsidRDefault="00D92697">
            <w:r>
              <w:rPr>
                <w:rFonts w:hint="eastAsia"/>
              </w:rPr>
              <w:t>知识与技能：通过简单的事例，初步体会对策论方法在解决实际问题中的应用，初步培养应用意识，提高解决实际问题的能力。</w:t>
            </w:r>
          </w:p>
          <w:p w:rsidR="00B03318" w:rsidRDefault="00D92697">
            <w:r>
              <w:rPr>
                <w:rFonts w:hint="eastAsia"/>
              </w:rPr>
              <w:t>过程与方法：通过观察、操作、独立思考与合作交流等方式探索策略。</w:t>
            </w:r>
          </w:p>
          <w:p w:rsidR="00B03318" w:rsidRDefault="00D92697">
            <w:r>
              <w:rPr>
                <w:rFonts w:hint="eastAsia"/>
              </w:rPr>
              <w:t>情感、态度和价值观：通过实践活动，体会数学与现实生活的密切联系，并培养详细分析、周密思考的思维品质。</w:t>
            </w:r>
          </w:p>
          <w:p w:rsidR="00B03318" w:rsidRDefault="00B03318">
            <w:pPr>
              <w:adjustRightInd w:val="0"/>
              <w:snapToGrid w:val="0"/>
              <w:spacing w:line="520" w:lineRule="exact"/>
              <w:jc w:val="left"/>
              <w:rPr>
                <w:rFonts w:ascii="宋体" w:hAnsi="宋体"/>
                <w:szCs w:val="21"/>
              </w:rPr>
            </w:pPr>
          </w:p>
        </w:tc>
      </w:tr>
      <w:tr w:rsidR="00B03318">
        <w:trPr>
          <w:trHeight w:val="2549"/>
        </w:trPr>
        <w:tc>
          <w:tcPr>
            <w:tcW w:w="9039" w:type="dxa"/>
            <w:gridSpan w:val="8"/>
            <w:vAlign w:val="center"/>
          </w:tcPr>
          <w:p w:rsidR="00B03318" w:rsidRDefault="00D92697" w:rsidP="005672C8">
            <w:pPr>
              <w:adjustRightInd w:val="0"/>
              <w:snapToGrid w:val="0"/>
              <w:spacing w:afterLines="30" w:line="520" w:lineRule="exact"/>
              <w:jc w:val="left"/>
              <w:rPr>
                <w:rFonts w:ascii="宋体" w:hAnsi="宋体"/>
                <w:sz w:val="24"/>
                <w:szCs w:val="24"/>
              </w:rPr>
            </w:pPr>
            <w:r>
              <w:rPr>
                <w:rFonts w:ascii="宋体" w:hAnsi="宋体" w:hint="eastAsia"/>
                <w:sz w:val="24"/>
                <w:szCs w:val="24"/>
              </w:rPr>
              <w:t>三、学习者分析</w:t>
            </w:r>
          </w:p>
          <w:p w:rsidR="00B03318" w:rsidRDefault="00D92697" w:rsidP="005672C8">
            <w:pPr>
              <w:adjustRightInd w:val="0"/>
              <w:snapToGrid w:val="0"/>
              <w:spacing w:afterLines="30" w:line="520" w:lineRule="exact"/>
              <w:jc w:val="left"/>
              <w:rPr>
                <w:rFonts w:ascii="宋体" w:hAnsi="宋体"/>
                <w:sz w:val="24"/>
                <w:szCs w:val="24"/>
              </w:rPr>
            </w:pPr>
            <w:r>
              <w:rPr>
                <w:rFonts w:hint="eastAsia"/>
              </w:rPr>
              <w:t>“田忌赛马”的故事学生可能已经了解，但是不一定是从数学的角度去理解的，在这里，通过故事和活动让学生体会对策论在实际中的应用。对于四年级学生来说，学习优选法、对策论等是比较困难的，要使学生对所学知识有所理解，并激发他们学习的兴趣和欲望，除了把握好教学尺度，注重教学方法外，还应该尽可能地使课堂教学的内容充实、丰富，能更好地帮助学生理解这些思想和方法，了解其在实际生活中的应用。</w:t>
            </w:r>
          </w:p>
        </w:tc>
      </w:tr>
      <w:tr w:rsidR="00B03318">
        <w:trPr>
          <w:trHeight w:val="2671"/>
        </w:trPr>
        <w:tc>
          <w:tcPr>
            <w:tcW w:w="9039" w:type="dxa"/>
            <w:gridSpan w:val="8"/>
            <w:vAlign w:val="center"/>
          </w:tcPr>
          <w:p w:rsidR="00B03318" w:rsidRDefault="00D92697" w:rsidP="005672C8">
            <w:pPr>
              <w:adjustRightInd w:val="0"/>
              <w:snapToGrid w:val="0"/>
              <w:spacing w:afterLines="30" w:line="520" w:lineRule="exact"/>
              <w:jc w:val="left"/>
              <w:rPr>
                <w:rFonts w:ascii="宋体" w:hAnsi="宋体"/>
                <w:sz w:val="24"/>
                <w:szCs w:val="24"/>
              </w:rPr>
            </w:pPr>
            <w:r>
              <w:rPr>
                <w:rFonts w:ascii="宋体" w:hAnsi="宋体" w:hint="eastAsia"/>
                <w:sz w:val="24"/>
                <w:szCs w:val="24"/>
              </w:rPr>
              <w:t>四、教学重难点分析及解决措施</w:t>
            </w:r>
          </w:p>
          <w:p w:rsidR="00B03318" w:rsidRDefault="00D92697">
            <w:pPr>
              <w:rPr>
                <w:szCs w:val="21"/>
              </w:rPr>
            </w:pPr>
            <w:r>
              <w:rPr>
                <w:rFonts w:hint="eastAsia"/>
                <w:szCs w:val="21"/>
              </w:rPr>
              <w:t>教学重点：</w:t>
            </w:r>
            <w:r>
              <w:rPr>
                <w:rFonts w:hint="eastAsia"/>
              </w:rPr>
              <w:t>能在所有可能采取的策略中选择一个最优策略。</w:t>
            </w:r>
          </w:p>
          <w:p w:rsidR="00B03318" w:rsidRDefault="00D92697" w:rsidP="005672C8">
            <w:pPr>
              <w:adjustRightInd w:val="0"/>
              <w:snapToGrid w:val="0"/>
              <w:spacing w:afterLines="30" w:line="520" w:lineRule="exact"/>
              <w:jc w:val="left"/>
              <w:rPr>
                <w:rFonts w:ascii="宋体" w:hAnsi="宋体"/>
                <w:sz w:val="24"/>
                <w:szCs w:val="24"/>
              </w:rPr>
            </w:pPr>
            <w:r>
              <w:rPr>
                <w:rFonts w:hint="eastAsia"/>
                <w:szCs w:val="21"/>
              </w:rPr>
              <w:t>解决措施：</w:t>
            </w:r>
            <w:r>
              <w:rPr>
                <w:szCs w:val="21"/>
              </w:rPr>
              <w:t>通过</w:t>
            </w:r>
            <w:r>
              <w:rPr>
                <w:rFonts w:hint="eastAsia"/>
                <w:szCs w:val="21"/>
              </w:rPr>
              <w:t>电子书包进行操作</w:t>
            </w:r>
            <w:r>
              <w:rPr>
                <w:szCs w:val="21"/>
              </w:rPr>
              <w:t>、</w:t>
            </w:r>
            <w:r>
              <w:rPr>
                <w:rFonts w:hint="eastAsia"/>
                <w:szCs w:val="21"/>
              </w:rPr>
              <w:t>体验、观察、</w:t>
            </w:r>
            <w:r>
              <w:rPr>
                <w:szCs w:val="21"/>
              </w:rPr>
              <w:t>讨论、分析和概括等活动，让学生</w:t>
            </w:r>
            <w:r>
              <w:rPr>
                <w:rFonts w:hint="eastAsia"/>
                <w:szCs w:val="21"/>
              </w:rPr>
              <w:t>寻找解决问题的应对策略</w:t>
            </w:r>
            <w:r>
              <w:rPr>
                <w:szCs w:val="21"/>
              </w:rPr>
              <w:t>，充分体现学生的主动参与。既激发学习兴趣，又培养学生的学习能力。</w:t>
            </w:r>
          </w:p>
        </w:tc>
      </w:tr>
      <w:tr w:rsidR="00B03318">
        <w:trPr>
          <w:trHeight w:val="461"/>
        </w:trPr>
        <w:tc>
          <w:tcPr>
            <w:tcW w:w="9039" w:type="dxa"/>
            <w:gridSpan w:val="8"/>
            <w:vAlign w:val="center"/>
          </w:tcPr>
          <w:p w:rsidR="00B03318" w:rsidRDefault="00D92697" w:rsidP="005672C8">
            <w:pPr>
              <w:adjustRightInd w:val="0"/>
              <w:snapToGrid w:val="0"/>
              <w:spacing w:afterLines="30" w:line="520" w:lineRule="exact"/>
              <w:jc w:val="left"/>
              <w:rPr>
                <w:rFonts w:ascii="宋体" w:hAnsi="宋体"/>
                <w:sz w:val="24"/>
                <w:szCs w:val="24"/>
              </w:rPr>
            </w:pPr>
            <w:r>
              <w:rPr>
                <w:rFonts w:ascii="宋体" w:hAnsi="宋体" w:hint="eastAsia"/>
                <w:sz w:val="24"/>
                <w:szCs w:val="24"/>
              </w:rPr>
              <w:t>五、教学设计</w:t>
            </w:r>
          </w:p>
        </w:tc>
      </w:tr>
      <w:tr w:rsidR="00B03318">
        <w:trPr>
          <w:trHeight w:val="461"/>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教学环节</w:t>
            </w:r>
          </w:p>
        </w:tc>
        <w:tc>
          <w:tcPr>
            <w:tcW w:w="1134" w:type="dxa"/>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起止时间（</w:t>
            </w:r>
            <w:r>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highlight w:val="cyan"/>
              </w:rPr>
            </w:pPr>
            <w:r>
              <w:rPr>
                <w:rFonts w:asciiTheme="minorEastAsia" w:eastAsiaTheme="minorEastAsia" w:hAnsiTheme="minorEastAsia" w:hint="eastAsia"/>
                <w:sz w:val="18"/>
                <w:szCs w:val="18"/>
              </w:rPr>
              <w:t>环节目标</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教学内容</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学生活动</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媒体作用及分析 </w:t>
            </w:r>
          </w:p>
        </w:tc>
      </w:tr>
      <w:tr w:rsidR="00B03318">
        <w:trPr>
          <w:trHeight w:val="461"/>
        </w:trPr>
        <w:tc>
          <w:tcPr>
            <w:tcW w:w="958" w:type="dxa"/>
          </w:tcPr>
          <w:p w:rsidR="00B03318" w:rsidRDefault="00D92697">
            <w:pPr>
              <w:jc w:val="left"/>
            </w:pPr>
            <w:r>
              <w:rPr>
                <w:rFonts w:asciiTheme="minorEastAsia" w:eastAsiaTheme="minorEastAsia" w:hAnsiTheme="minorEastAsia" w:hint="eastAsia"/>
                <w:sz w:val="18"/>
                <w:szCs w:val="18"/>
              </w:rPr>
              <w:lastRenderedPageBreak/>
              <w:t>一、整体</w:t>
            </w:r>
            <w:r>
              <w:rPr>
                <w:rFonts w:hint="eastAsia"/>
              </w:rPr>
              <w:t>感知，提出问题</w:t>
            </w:r>
          </w:p>
          <w:p w:rsidR="00B03318" w:rsidRDefault="00B03318">
            <w:pPr>
              <w:rPr>
                <w:rFonts w:asciiTheme="minorEastAsia" w:eastAsiaTheme="minorEastAsia" w:hAnsiTheme="minorEastAsia"/>
                <w:sz w:val="18"/>
                <w:szCs w:val="18"/>
              </w:rPr>
            </w:pPr>
          </w:p>
          <w:p w:rsidR="00B03318" w:rsidRDefault="00B03318">
            <w:pPr>
              <w:rPr>
                <w:rFonts w:asciiTheme="minorEastAsia" w:eastAsiaTheme="minorEastAsia" w:hAnsiTheme="minorEastAsia"/>
                <w:sz w:val="18"/>
                <w:szCs w:val="18"/>
              </w:rPr>
            </w:pP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 xml:space="preserve"> 5</w:t>
            </w:r>
            <w:r>
              <w:rPr>
                <w:rFonts w:asciiTheme="minorEastAsia" w:eastAsiaTheme="minorEastAsia" w:hAnsiTheme="minorEastAsia"/>
                <w:sz w:val="18"/>
                <w:szCs w:val="18"/>
              </w:rPr>
              <w:t>’</w:t>
            </w:r>
            <w:r>
              <w:rPr>
                <w:rFonts w:asciiTheme="minorEastAsia" w:eastAsiaTheme="minorEastAsia" w:hAnsiTheme="minorEastAsia" w:hint="eastAsia"/>
                <w:sz w:val="18"/>
                <w:szCs w:val="18"/>
              </w:rPr>
              <w:t>00</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以学生喜爱的“扑克牌”游戏导入，符合学生的年龄特点和心理特征，能激起学生的认知冲突，激发学生提出问题的意识，激发学生的学习兴趣和强烈的求知欲。</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针对小学生喜欢玩游戏的特点，新课以玩扑克牌比大小的形式开头，创设一种符合孩子心理的情景，为学生积极参与后面的学习活动打下基础。</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学生选取较大的纸牌，与老师一起拖动扑克牌比大小，结果反而输了，激起学生的认知冲突。</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通过互动题板制作课件，师生拖动纸牌比大小，十分形象、直观。利用交互式黑板与学生一起互动，激起学生的认知冲突，激发学生提出问题的意识、学生的学习兴趣和强烈的求知欲。</w:t>
            </w:r>
          </w:p>
        </w:tc>
      </w:tr>
      <w:tr w:rsidR="00B03318">
        <w:trPr>
          <w:trHeight w:val="4008"/>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二、自主学习、解决问题</w:t>
            </w: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672C8">
              <w:rPr>
                <w:rFonts w:asciiTheme="minorEastAsia" w:eastAsiaTheme="minorEastAsia" w:hAnsiTheme="minorEastAsia" w:hint="eastAsia"/>
                <w:sz w:val="18"/>
                <w:szCs w:val="18"/>
              </w:rPr>
              <w:t>5</w:t>
            </w:r>
            <w:r>
              <w:rPr>
                <w:rFonts w:asciiTheme="minorEastAsia" w:eastAsiaTheme="minorEastAsia" w:hAnsiTheme="minorEastAsia"/>
                <w:sz w:val="18"/>
                <w:szCs w:val="18"/>
              </w:rPr>
              <w:t>’</w:t>
            </w:r>
            <w:r>
              <w:rPr>
                <w:rFonts w:asciiTheme="minorEastAsia" w:eastAsiaTheme="minorEastAsia" w:hAnsiTheme="minorEastAsia" w:hint="eastAsia"/>
                <w:sz w:val="18"/>
                <w:szCs w:val="18"/>
              </w:rPr>
              <w:t>00</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14</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Pr>
                <w:rFonts w:asciiTheme="minorEastAsia" w:eastAsiaTheme="minorEastAsia" w:hAnsiTheme="minorEastAsia" w:hint="eastAsia"/>
                <w:sz w:val="18"/>
                <w:szCs w:val="18"/>
              </w:rPr>
              <w:t>02</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放手让学生从自己的思维实际出发，给学生以充分的思考空间，学生将如鱼得水，爆发出极大的创造热情，自由地、主动地投身到数学活动中去，探讨田忌赛马的策略。在探究性学习中，学生按自己的想法去做、去发现田忌赛马的最优策略。</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先听田忌赛马的故事，然后通过同桌两人的合作学习，体验齐王和田忌之间的几种不同策略的模拟比赛，旨在将教师质疑的问题和解决田忌一定能赢的方法让学生在模拟比赛中有所感悟、有所体会并发现田忌先出必输，进而突破教学重点。</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认真倾听田忌赛马的故事，找出田忌的策略，提出问题。然后同桌两人为一组，一人操作演示，一人填表格，将田忌应对齐王的所有策略全部罗列并体验，从而得出田忌赛马的最优策略，从操作、交流中体验、感悟田忌赛马的应对策略。</w:t>
            </w:r>
          </w:p>
        </w:tc>
        <w:tc>
          <w:tcPr>
            <w:tcW w:w="2410" w:type="dxa"/>
            <w:gridSpan w:val="2"/>
            <w:vAlign w:val="center"/>
          </w:tcPr>
          <w:p w:rsidR="00B03318" w:rsidRDefault="00D92697">
            <w:pPr>
              <w:jc w:val="left"/>
              <w:rPr>
                <w:rFonts w:asciiTheme="minorEastAsia" w:eastAsiaTheme="minorEastAsia" w:hAnsiTheme="minorEastAsia"/>
                <w:color w:val="993300"/>
                <w:sz w:val="18"/>
                <w:szCs w:val="18"/>
              </w:rPr>
            </w:pPr>
            <w:r>
              <w:rPr>
                <w:rFonts w:asciiTheme="minorEastAsia" w:eastAsiaTheme="minorEastAsia" w:hAnsiTheme="minorEastAsia" w:hint="eastAsia"/>
                <w:sz w:val="18"/>
                <w:szCs w:val="18"/>
              </w:rPr>
              <w:t>这一环节先利用播放视频功能，将田忌赛马的故事直观形象，以图文结合的形式展现，激发学生探究欲望。然后利用诺亚平台上的图形计算器制作出可以根据自己设计的方案，灵活操作模拟比赛，学生兴趣盎然，通过操作，学生既准确又形象的得出每场比赛的结果，使学生在操作、交流中感悟应对策略，突破本课重点。</w:t>
            </w:r>
          </w:p>
        </w:tc>
      </w:tr>
      <w:tr w:rsidR="00B03318">
        <w:trPr>
          <w:trHeight w:val="90"/>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三、交流表达、汇报收获</w:t>
            </w: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672C8">
              <w:rPr>
                <w:rFonts w:asciiTheme="minorEastAsia" w:eastAsiaTheme="minorEastAsia" w:hAnsiTheme="minorEastAsia" w:hint="eastAsia"/>
                <w:sz w:val="18"/>
                <w:szCs w:val="18"/>
              </w:rPr>
              <w:t>14</w:t>
            </w:r>
            <w:r>
              <w:rPr>
                <w:rFonts w:asciiTheme="minorEastAsia" w:eastAsiaTheme="minorEastAsia" w:hAnsiTheme="minorEastAsia"/>
                <w:sz w:val="18"/>
                <w:szCs w:val="18"/>
              </w:rPr>
              <w:t>’</w:t>
            </w:r>
            <w:r>
              <w:rPr>
                <w:rFonts w:asciiTheme="minorEastAsia" w:eastAsiaTheme="minorEastAsia" w:hAnsiTheme="minorEastAsia" w:hint="eastAsia"/>
                <w:sz w:val="18"/>
                <w:szCs w:val="18"/>
              </w:rPr>
              <w:t>03</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19</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50</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通过填表验证的活动来得出最优策略完成学习任务，在活动中把对策论的思想方法渗透给学生。在情境中“学”，在解决问题中“悟”，从而提高学生的思维能力。可以使学生感受数学在生活中的广泛应用。</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将完成的表格以拍照的形式上传，并请同学汇报自己的结论。</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学生自由主动汇报自己的想法，得出结论。</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利用诺亚平台上的拍照功能将学生通过拍照将所填表格上传，利用大屏随机抽取学生作业进行对比，展示学生的发现。学生汇报的结果能在大屏幕上显示，增加了师生和生生的交互。</w:t>
            </w:r>
          </w:p>
        </w:tc>
      </w:tr>
      <w:tr w:rsidR="00B03318">
        <w:trPr>
          <w:trHeight w:val="461"/>
        </w:trPr>
        <w:tc>
          <w:tcPr>
            <w:tcW w:w="958" w:type="dxa"/>
            <w:vAlign w:val="center"/>
          </w:tcPr>
          <w:p w:rsidR="00B03318" w:rsidRDefault="00D92697">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四、拓展练习、巩固提升</w:t>
            </w:r>
          </w:p>
        </w:tc>
        <w:tc>
          <w:tcPr>
            <w:tcW w:w="1134" w:type="dxa"/>
          </w:tcPr>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672C8">
              <w:rPr>
                <w:rFonts w:asciiTheme="minorEastAsia" w:eastAsiaTheme="minorEastAsia" w:hAnsiTheme="minorEastAsia" w:hint="eastAsia"/>
                <w:sz w:val="18"/>
                <w:szCs w:val="18"/>
              </w:rPr>
              <w:t>19</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50</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36</w:t>
            </w:r>
            <w:r>
              <w:rPr>
                <w:rFonts w:asciiTheme="minorEastAsia" w:eastAsiaTheme="minorEastAsia" w:hAnsiTheme="minorEastAsia"/>
                <w:sz w:val="18"/>
                <w:szCs w:val="18"/>
              </w:rPr>
              <w:t>’</w:t>
            </w:r>
            <w:r w:rsidR="005672C8">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p>
        </w:tc>
        <w:tc>
          <w:tcPr>
            <w:tcW w:w="1418" w:type="dxa"/>
            <w:vAlign w:val="center"/>
          </w:tcPr>
          <w:p w:rsidR="00B03318" w:rsidRDefault="00D92697">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内化刚刚探索的应对策略。</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让学生通过“填一填”“选一选”、等即时练习，深入理解运用应对策略。</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学生逐一完成电子书包上发送的题，提交后说说问什么这样做，并将做错的题及时改正。</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利用诺亚平台发送到学生的平板电脑上，让学生独立完成。系统自动统计学生解题的对错情况，有利于老师更好地掌握学生对每个知识点的掌握情况，可以更有效促进教育教学。客观题通过网络平台自动批改。减少教师工作量，这样使教师有更多的时间投入课程的准备，也有更多的时间与学生沟通交流，有效促进师生教学互动，丰富教学模式。</w:t>
            </w: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电子书包的使用可以增加学生的练习量，拓展了学生的视野，学生的个性化学习得以实现，学生的个性发展能够得到充分的呈现。</w:t>
            </w:r>
          </w:p>
        </w:tc>
      </w:tr>
      <w:tr w:rsidR="00B03318">
        <w:trPr>
          <w:trHeight w:val="2118"/>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五、整体收获、归纳总结</w:t>
            </w:r>
          </w:p>
        </w:tc>
        <w:tc>
          <w:tcPr>
            <w:tcW w:w="1134" w:type="dxa"/>
          </w:tcPr>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D92697">
            <w:pPr>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5672C8">
              <w:rPr>
                <w:rFonts w:asciiTheme="minorEastAsia" w:eastAsiaTheme="minorEastAsia" w:hAnsiTheme="minorEastAsia" w:hint="eastAsia"/>
                <w:b/>
                <w:sz w:val="18"/>
                <w:szCs w:val="18"/>
              </w:rPr>
              <w:t>36</w:t>
            </w:r>
            <w:r>
              <w:rPr>
                <w:rFonts w:asciiTheme="minorEastAsia" w:eastAsiaTheme="minorEastAsia" w:hAnsiTheme="minorEastAsia"/>
                <w:b/>
                <w:sz w:val="18"/>
                <w:szCs w:val="18"/>
              </w:rPr>
              <w:t>’</w:t>
            </w:r>
            <w:r w:rsidR="005672C8">
              <w:rPr>
                <w:rFonts w:asciiTheme="minorEastAsia" w:eastAsiaTheme="minorEastAsia" w:hAnsiTheme="minorEastAsia" w:hint="eastAsia"/>
                <w:b/>
                <w:sz w:val="18"/>
                <w:szCs w:val="18"/>
              </w:rPr>
              <w:t>03</w:t>
            </w:r>
            <w:r>
              <w:rPr>
                <w:rFonts w:asciiTheme="minorEastAsia" w:eastAsiaTheme="minorEastAsia" w:hAnsiTheme="minorEastAsia"/>
                <w:b/>
                <w:sz w:val="18"/>
                <w:szCs w:val="18"/>
              </w:rPr>
              <w:t>”-</w:t>
            </w:r>
            <w:r w:rsidR="000217A4">
              <w:rPr>
                <w:rFonts w:asciiTheme="minorEastAsia" w:eastAsiaTheme="minorEastAsia" w:hAnsiTheme="minorEastAsia" w:hint="eastAsia"/>
                <w:b/>
                <w:sz w:val="18"/>
                <w:szCs w:val="18"/>
              </w:rPr>
              <w:t>39</w:t>
            </w:r>
            <w:r>
              <w:rPr>
                <w:rFonts w:asciiTheme="minorEastAsia" w:eastAsiaTheme="minorEastAsia" w:hAnsiTheme="minorEastAsia" w:hint="eastAsia"/>
                <w:b/>
                <w:sz w:val="18"/>
                <w:szCs w:val="18"/>
              </w:rPr>
              <w:t xml:space="preserve"> </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33</w:t>
            </w:r>
            <w:r>
              <w:rPr>
                <w:rFonts w:asciiTheme="minorEastAsia" w:eastAsiaTheme="minorEastAsia" w:hAnsiTheme="minorEastAsia"/>
                <w:b/>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通过谈感想、谈收获，使学生间互相补充，共同完善，有利于学生学习能力的培养。</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这节课我们一起研究了什么？你有什么收获？还有那些疑问？</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学生谈自己的收获。</w:t>
            </w:r>
          </w:p>
        </w:tc>
        <w:tc>
          <w:tcPr>
            <w:tcW w:w="2410" w:type="dxa"/>
            <w:gridSpan w:val="2"/>
            <w:vAlign w:val="center"/>
          </w:tcPr>
          <w:p w:rsidR="00B03318" w:rsidRDefault="00B03318">
            <w:pPr>
              <w:jc w:val="left"/>
              <w:rPr>
                <w:rFonts w:asciiTheme="minorEastAsia" w:eastAsiaTheme="minorEastAsia" w:hAnsiTheme="minorEastAsia"/>
                <w:sz w:val="18"/>
                <w:szCs w:val="18"/>
              </w:rPr>
            </w:pPr>
          </w:p>
        </w:tc>
      </w:tr>
      <w:tr w:rsidR="00B03318">
        <w:trPr>
          <w:trHeight w:val="2960"/>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六、拓展延伸</w:t>
            </w: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w:t>
            </w:r>
            <w:r w:rsidR="000217A4">
              <w:rPr>
                <w:rFonts w:asciiTheme="minorEastAsia" w:eastAsiaTheme="minorEastAsia" w:hAnsiTheme="minorEastAsia" w:hint="eastAsia"/>
                <w:b/>
                <w:sz w:val="18"/>
                <w:szCs w:val="18"/>
              </w:rPr>
              <w:t>39</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34</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 xml:space="preserve">40 </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00</w:t>
            </w:r>
            <w:r>
              <w:rPr>
                <w:rFonts w:asciiTheme="minorEastAsia" w:eastAsiaTheme="minorEastAsia" w:hAnsiTheme="minorEastAsia"/>
                <w:b/>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hint="eastAsia"/>
              </w:rPr>
              <w:t>知识的拓展，能培养学生多角度思考问题的能力，进一步</w:t>
            </w:r>
            <w:r>
              <w:rPr>
                <w:rFonts w:asciiTheme="minorEastAsia" w:eastAsiaTheme="minorEastAsia" w:hAnsiTheme="minorEastAsia" w:hint="eastAsia"/>
                <w:sz w:val="18"/>
                <w:szCs w:val="18"/>
              </w:rPr>
              <w:t>体验应对策略，体会数学在生活中的应用。</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通过取圆片的思考题，引发学生的探究欲望，操作展示方法，留下思考</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同学们通过讨论、交流、操作、体验轮流取圆片的应对策略，体会数学在生活中的应用。</w:t>
            </w:r>
          </w:p>
        </w:tc>
        <w:tc>
          <w:tcPr>
            <w:tcW w:w="2410" w:type="dxa"/>
            <w:gridSpan w:val="2"/>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通过互动题板制作课件，学生上台移动圆片，展示方法，十分形象、直观。充分利用设备，做到师生、生生之间的互动。</w:t>
            </w:r>
          </w:p>
        </w:tc>
      </w:tr>
      <w:tr w:rsidR="00B03318">
        <w:trPr>
          <w:trHeight w:val="461"/>
        </w:trPr>
        <w:tc>
          <w:tcPr>
            <w:tcW w:w="958" w:type="dxa"/>
            <w:vAlign w:val="center"/>
          </w:tcPr>
          <w:p w:rsidR="00B03318" w:rsidRDefault="00B03318">
            <w:pPr>
              <w:jc w:val="left"/>
              <w:rPr>
                <w:rFonts w:asciiTheme="minorEastAsia" w:eastAsiaTheme="minorEastAsia" w:hAnsiTheme="minorEastAsia"/>
                <w:sz w:val="18"/>
                <w:szCs w:val="18"/>
              </w:rPr>
            </w:pPr>
          </w:p>
        </w:tc>
        <w:tc>
          <w:tcPr>
            <w:tcW w:w="1134" w:type="dxa"/>
          </w:tcPr>
          <w:p w:rsidR="00B03318" w:rsidRDefault="00B03318">
            <w:pPr>
              <w:jc w:val="left"/>
              <w:rPr>
                <w:rFonts w:asciiTheme="minorEastAsia" w:eastAsiaTheme="minorEastAsia" w:hAnsiTheme="minorEastAsia"/>
                <w:sz w:val="18"/>
                <w:szCs w:val="18"/>
              </w:rPr>
            </w:pPr>
          </w:p>
        </w:tc>
        <w:tc>
          <w:tcPr>
            <w:tcW w:w="1418" w:type="dxa"/>
            <w:vAlign w:val="center"/>
          </w:tcPr>
          <w:p w:rsidR="00B03318" w:rsidRDefault="00B03318">
            <w:pPr>
              <w:jc w:val="left"/>
              <w:rPr>
                <w:rFonts w:asciiTheme="minorEastAsia" w:eastAsiaTheme="minorEastAsia" w:hAnsiTheme="minorEastAsia"/>
                <w:sz w:val="18"/>
                <w:szCs w:val="18"/>
              </w:rPr>
            </w:pPr>
          </w:p>
        </w:tc>
        <w:tc>
          <w:tcPr>
            <w:tcW w:w="1560" w:type="dxa"/>
            <w:vAlign w:val="center"/>
          </w:tcPr>
          <w:p w:rsidR="00B03318" w:rsidRDefault="00B03318">
            <w:pPr>
              <w:jc w:val="left"/>
              <w:rPr>
                <w:rFonts w:asciiTheme="minorEastAsia" w:eastAsiaTheme="minorEastAsia" w:hAnsiTheme="minorEastAsia"/>
                <w:sz w:val="18"/>
                <w:szCs w:val="18"/>
              </w:rPr>
            </w:pPr>
          </w:p>
        </w:tc>
        <w:tc>
          <w:tcPr>
            <w:tcW w:w="1559" w:type="dxa"/>
            <w:gridSpan w:val="2"/>
            <w:vAlign w:val="center"/>
          </w:tcPr>
          <w:p w:rsidR="00B03318" w:rsidRDefault="00B03318">
            <w:pPr>
              <w:jc w:val="left"/>
              <w:rPr>
                <w:rFonts w:asciiTheme="minorEastAsia" w:eastAsiaTheme="minorEastAsia" w:hAnsiTheme="minorEastAsia"/>
                <w:sz w:val="18"/>
                <w:szCs w:val="18"/>
              </w:rPr>
            </w:pPr>
          </w:p>
        </w:tc>
        <w:tc>
          <w:tcPr>
            <w:tcW w:w="2410" w:type="dxa"/>
            <w:gridSpan w:val="2"/>
            <w:vAlign w:val="center"/>
          </w:tcPr>
          <w:p w:rsidR="00B03318" w:rsidRDefault="00B03318">
            <w:pPr>
              <w:jc w:val="left"/>
              <w:rPr>
                <w:rFonts w:asciiTheme="minorEastAsia" w:eastAsiaTheme="minorEastAsia" w:hAnsiTheme="minorEastAsia"/>
                <w:sz w:val="18"/>
                <w:szCs w:val="18"/>
              </w:rPr>
            </w:pPr>
          </w:p>
        </w:tc>
      </w:tr>
    </w:tbl>
    <w:p w:rsidR="00B03318" w:rsidRDefault="00B03318">
      <w:pPr>
        <w:adjustRightInd w:val="0"/>
        <w:snapToGrid w:val="0"/>
        <w:spacing w:line="440" w:lineRule="exact"/>
        <w:rPr>
          <w:rFonts w:ascii="宋体" w:hAnsi="宋体"/>
          <w:kern w:val="0"/>
        </w:rPr>
      </w:pPr>
      <w:bookmarkStart w:id="0" w:name="_GoBack"/>
      <w:bookmarkEnd w:id="0"/>
    </w:p>
    <w:sectPr w:rsidR="00B03318" w:rsidSect="00B03318">
      <w:headerReference w:type="default" r:id="rId7"/>
      <w:headerReference w:type="first" r:id="rId8"/>
      <w:pgSz w:w="11906" w:h="16838"/>
      <w:pgMar w:top="1440" w:right="1559"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A1" w:rsidRDefault="006416A1" w:rsidP="00B03318">
      <w:r>
        <w:separator/>
      </w:r>
    </w:p>
  </w:endnote>
  <w:endnote w:type="continuationSeparator" w:id="0">
    <w:p w:rsidR="006416A1" w:rsidRDefault="006416A1" w:rsidP="00B03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s">
    <w:altName w:val="Segoe Print"/>
    <w:charset w:val="00"/>
    <w:family w:val="auto"/>
    <w:pitch w:val="default"/>
    <w:sig w:usb0="00000003" w:usb1="00000000" w:usb2="00000000" w:usb3="00000000" w:csb0="00000001" w:csb1="00000000"/>
  </w:font>
  <w:font w:name="方正小标宋简体">
    <w:altName w:val="微软雅黑"/>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A1" w:rsidRDefault="006416A1" w:rsidP="00B03318">
      <w:r>
        <w:separator/>
      </w:r>
    </w:p>
  </w:footnote>
  <w:footnote w:type="continuationSeparator" w:id="0">
    <w:p w:rsidR="006416A1" w:rsidRDefault="006416A1" w:rsidP="00B0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18" w:rsidRDefault="00B03318">
    <w:pPr>
      <w:pStyle w:val="a8"/>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18" w:rsidRDefault="00B03318">
    <w:pPr>
      <w:pStyle w:val="a8"/>
      <w:tabs>
        <w:tab w:val="clear" w:pos="4153"/>
        <w:tab w:val="left" w:pos="1224"/>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87A"/>
    <w:rsid w:val="00001992"/>
    <w:rsid w:val="0000711E"/>
    <w:rsid w:val="000217A4"/>
    <w:rsid w:val="00053A18"/>
    <w:rsid w:val="00057F84"/>
    <w:rsid w:val="00075770"/>
    <w:rsid w:val="00093073"/>
    <w:rsid w:val="000B3E5F"/>
    <w:rsid w:val="000B635A"/>
    <w:rsid w:val="000D7769"/>
    <w:rsid w:val="000E71AE"/>
    <w:rsid w:val="00104699"/>
    <w:rsid w:val="001148B4"/>
    <w:rsid w:val="001149BC"/>
    <w:rsid w:val="00123CCC"/>
    <w:rsid w:val="00127B03"/>
    <w:rsid w:val="001349FB"/>
    <w:rsid w:val="00151C3D"/>
    <w:rsid w:val="00153751"/>
    <w:rsid w:val="001679AC"/>
    <w:rsid w:val="00182166"/>
    <w:rsid w:val="00185144"/>
    <w:rsid w:val="00195877"/>
    <w:rsid w:val="001A2E92"/>
    <w:rsid w:val="001B43BA"/>
    <w:rsid w:val="001D563A"/>
    <w:rsid w:val="001F621D"/>
    <w:rsid w:val="0020102B"/>
    <w:rsid w:val="002016F5"/>
    <w:rsid w:val="00201DFD"/>
    <w:rsid w:val="00203358"/>
    <w:rsid w:val="00216182"/>
    <w:rsid w:val="0023601C"/>
    <w:rsid w:val="00287297"/>
    <w:rsid w:val="002A2F66"/>
    <w:rsid w:val="002B41F7"/>
    <w:rsid w:val="002C5197"/>
    <w:rsid w:val="002D3AFE"/>
    <w:rsid w:val="002E4385"/>
    <w:rsid w:val="002E5D61"/>
    <w:rsid w:val="002F51B6"/>
    <w:rsid w:val="003054EA"/>
    <w:rsid w:val="00355F1A"/>
    <w:rsid w:val="00356F2E"/>
    <w:rsid w:val="003622F1"/>
    <w:rsid w:val="00372EB2"/>
    <w:rsid w:val="00384F95"/>
    <w:rsid w:val="00392FA7"/>
    <w:rsid w:val="00394BDA"/>
    <w:rsid w:val="003965AC"/>
    <w:rsid w:val="003A1314"/>
    <w:rsid w:val="003A3920"/>
    <w:rsid w:val="003A540C"/>
    <w:rsid w:val="003B700E"/>
    <w:rsid w:val="003B73A3"/>
    <w:rsid w:val="003C5968"/>
    <w:rsid w:val="003E1170"/>
    <w:rsid w:val="003E2973"/>
    <w:rsid w:val="00407AD0"/>
    <w:rsid w:val="00415FBC"/>
    <w:rsid w:val="00427650"/>
    <w:rsid w:val="00472729"/>
    <w:rsid w:val="00487F09"/>
    <w:rsid w:val="00497FA0"/>
    <w:rsid w:val="004C21BE"/>
    <w:rsid w:val="004C2EA5"/>
    <w:rsid w:val="004C7215"/>
    <w:rsid w:val="004D1F38"/>
    <w:rsid w:val="0051374A"/>
    <w:rsid w:val="00513FBD"/>
    <w:rsid w:val="00514E9A"/>
    <w:rsid w:val="00526814"/>
    <w:rsid w:val="00536187"/>
    <w:rsid w:val="00537380"/>
    <w:rsid w:val="00561559"/>
    <w:rsid w:val="005672C8"/>
    <w:rsid w:val="00580058"/>
    <w:rsid w:val="00587DF2"/>
    <w:rsid w:val="00591107"/>
    <w:rsid w:val="005912FC"/>
    <w:rsid w:val="005A19EB"/>
    <w:rsid w:val="005B3DED"/>
    <w:rsid w:val="005B75E4"/>
    <w:rsid w:val="005C15AB"/>
    <w:rsid w:val="005E69E4"/>
    <w:rsid w:val="005E76EB"/>
    <w:rsid w:val="005F5BF6"/>
    <w:rsid w:val="00600C57"/>
    <w:rsid w:val="00611CFB"/>
    <w:rsid w:val="006230B5"/>
    <w:rsid w:val="00636DE7"/>
    <w:rsid w:val="006416A1"/>
    <w:rsid w:val="00653254"/>
    <w:rsid w:val="006564B3"/>
    <w:rsid w:val="006919CC"/>
    <w:rsid w:val="006967C0"/>
    <w:rsid w:val="006A2575"/>
    <w:rsid w:val="006A2EE0"/>
    <w:rsid w:val="006E07C5"/>
    <w:rsid w:val="006E488F"/>
    <w:rsid w:val="006F1C46"/>
    <w:rsid w:val="0071152D"/>
    <w:rsid w:val="00712DBC"/>
    <w:rsid w:val="0072109E"/>
    <w:rsid w:val="00724EA7"/>
    <w:rsid w:val="007360DB"/>
    <w:rsid w:val="007671C0"/>
    <w:rsid w:val="00775022"/>
    <w:rsid w:val="007B2CC8"/>
    <w:rsid w:val="007C248D"/>
    <w:rsid w:val="007D78E9"/>
    <w:rsid w:val="007E0009"/>
    <w:rsid w:val="007F7EA3"/>
    <w:rsid w:val="00811059"/>
    <w:rsid w:val="00827440"/>
    <w:rsid w:val="00862522"/>
    <w:rsid w:val="00865C96"/>
    <w:rsid w:val="00865DE0"/>
    <w:rsid w:val="0087417D"/>
    <w:rsid w:val="00875837"/>
    <w:rsid w:val="00895129"/>
    <w:rsid w:val="008C15E9"/>
    <w:rsid w:val="008C1F14"/>
    <w:rsid w:val="008C5166"/>
    <w:rsid w:val="008E1B7A"/>
    <w:rsid w:val="0090178A"/>
    <w:rsid w:val="0091279C"/>
    <w:rsid w:val="00916F15"/>
    <w:rsid w:val="009227C8"/>
    <w:rsid w:val="00935824"/>
    <w:rsid w:val="009379B9"/>
    <w:rsid w:val="00943F1F"/>
    <w:rsid w:val="0094693B"/>
    <w:rsid w:val="009516DD"/>
    <w:rsid w:val="00975155"/>
    <w:rsid w:val="009A73D2"/>
    <w:rsid w:val="009B00D5"/>
    <w:rsid w:val="009C187A"/>
    <w:rsid w:val="009D056C"/>
    <w:rsid w:val="009D52F0"/>
    <w:rsid w:val="009F428B"/>
    <w:rsid w:val="009F50E1"/>
    <w:rsid w:val="00A01187"/>
    <w:rsid w:val="00A02B0B"/>
    <w:rsid w:val="00A14536"/>
    <w:rsid w:val="00A2017E"/>
    <w:rsid w:val="00A22DCA"/>
    <w:rsid w:val="00A33C61"/>
    <w:rsid w:val="00A42AC7"/>
    <w:rsid w:val="00A5181A"/>
    <w:rsid w:val="00A5347E"/>
    <w:rsid w:val="00A64360"/>
    <w:rsid w:val="00A83D8D"/>
    <w:rsid w:val="00A920DF"/>
    <w:rsid w:val="00AE565B"/>
    <w:rsid w:val="00B03318"/>
    <w:rsid w:val="00B23A60"/>
    <w:rsid w:val="00B31F1B"/>
    <w:rsid w:val="00B350F3"/>
    <w:rsid w:val="00B6098B"/>
    <w:rsid w:val="00B8631E"/>
    <w:rsid w:val="00B93BBA"/>
    <w:rsid w:val="00BA2196"/>
    <w:rsid w:val="00BB16B6"/>
    <w:rsid w:val="00BC2DA0"/>
    <w:rsid w:val="00BD2259"/>
    <w:rsid w:val="00BD2F5C"/>
    <w:rsid w:val="00BD7EED"/>
    <w:rsid w:val="00BE4EC8"/>
    <w:rsid w:val="00C17CF0"/>
    <w:rsid w:val="00C342B7"/>
    <w:rsid w:val="00C43C75"/>
    <w:rsid w:val="00C5586E"/>
    <w:rsid w:val="00C55A7D"/>
    <w:rsid w:val="00C571CE"/>
    <w:rsid w:val="00C57D43"/>
    <w:rsid w:val="00C57F04"/>
    <w:rsid w:val="00C7010F"/>
    <w:rsid w:val="00C7764C"/>
    <w:rsid w:val="00C92BBD"/>
    <w:rsid w:val="00CB1F59"/>
    <w:rsid w:val="00CB22EE"/>
    <w:rsid w:val="00CC11CC"/>
    <w:rsid w:val="00CD07B4"/>
    <w:rsid w:val="00D0244A"/>
    <w:rsid w:val="00D04DBD"/>
    <w:rsid w:val="00D60D06"/>
    <w:rsid w:val="00D64455"/>
    <w:rsid w:val="00D668B4"/>
    <w:rsid w:val="00D70B5F"/>
    <w:rsid w:val="00D82172"/>
    <w:rsid w:val="00D90CE2"/>
    <w:rsid w:val="00D92697"/>
    <w:rsid w:val="00D92B57"/>
    <w:rsid w:val="00DD57A4"/>
    <w:rsid w:val="00DF6949"/>
    <w:rsid w:val="00E03B5A"/>
    <w:rsid w:val="00E15DCB"/>
    <w:rsid w:val="00E31DF2"/>
    <w:rsid w:val="00E35FCD"/>
    <w:rsid w:val="00E447C6"/>
    <w:rsid w:val="00E505EB"/>
    <w:rsid w:val="00E609E4"/>
    <w:rsid w:val="00E61021"/>
    <w:rsid w:val="00E64A06"/>
    <w:rsid w:val="00E66DDE"/>
    <w:rsid w:val="00EB22BA"/>
    <w:rsid w:val="00EC3172"/>
    <w:rsid w:val="00EC47EA"/>
    <w:rsid w:val="00ED557B"/>
    <w:rsid w:val="00EE0DC8"/>
    <w:rsid w:val="00F303A7"/>
    <w:rsid w:val="00F31646"/>
    <w:rsid w:val="00F51C51"/>
    <w:rsid w:val="00FA4C88"/>
    <w:rsid w:val="00FD2B50"/>
    <w:rsid w:val="00FD477B"/>
    <w:rsid w:val="00FE00D1"/>
    <w:rsid w:val="1D7B624A"/>
    <w:rsid w:val="2808537C"/>
    <w:rsid w:val="31020434"/>
    <w:rsid w:val="468A7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18"/>
    <w:pPr>
      <w:widowControl w:val="0"/>
      <w:jc w:val="both"/>
    </w:pPr>
    <w:rPr>
      <w:rFonts w:cs="Times New Roman"/>
      <w:kern w:val="2"/>
      <w:sz w:val="21"/>
      <w:szCs w:val="22"/>
    </w:rPr>
  </w:style>
  <w:style w:type="paragraph" w:styleId="2">
    <w:name w:val="heading 2"/>
    <w:basedOn w:val="a"/>
    <w:next w:val="a"/>
    <w:link w:val="2Char"/>
    <w:uiPriority w:val="9"/>
    <w:unhideWhenUsed/>
    <w:qFormat/>
    <w:rsid w:val="00B03318"/>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03318"/>
    <w:rPr>
      <w:b/>
      <w:bCs/>
    </w:rPr>
  </w:style>
  <w:style w:type="paragraph" w:styleId="a4">
    <w:name w:val="annotation text"/>
    <w:basedOn w:val="a"/>
    <w:link w:val="Char0"/>
    <w:uiPriority w:val="99"/>
    <w:unhideWhenUsed/>
    <w:qFormat/>
    <w:rsid w:val="00B03318"/>
    <w:pPr>
      <w:jc w:val="left"/>
    </w:pPr>
  </w:style>
  <w:style w:type="paragraph" w:styleId="a5">
    <w:name w:val="Date"/>
    <w:basedOn w:val="a"/>
    <w:next w:val="a"/>
    <w:link w:val="Char1"/>
    <w:uiPriority w:val="99"/>
    <w:unhideWhenUsed/>
    <w:qFormat/>
    <w:rsid w:val="00B03318"/>
    <w:pPr>
      <w:ind w:leftChars="2500" w:left="100"/>
    </w:pPr>
  </w:style>
  <w:style w:type="paragraph" w:styleId="a6">
    <w:name w:val="Balloon Text"/>
    <w:basedOn w:val="a"/>
    <w:link w:val="Char2"/>
    <w:uiPriority w:val="99"/>
    <w:unhideWhenUsed/>
    <w:qFormat/>
    <w:rsid w:val="00B03318"/>
    <w:rPr>
      <w:sz w:val="18"/>
      <w:szCs w:val="18"/>
    </w:rPr>
  </w:style>
  <w:style w:type="paragraph" w:styleId="a7">
    <w:name w:val="footer"/>
    <w:basedOn w:val="a"/>
    <w:link w:val="Char3"/>
    <w:uiPriority w:val="99"/>
    <w:unhideWhenUsed/>
    <w:rsid w:val="00B03318"/>
    <w:pPr>
      <w:tabs>
        <w:tab w:val="center" w:pos="4153"/>
        <w:tab w:val="right" w:pos="8306"/>
      </w:tabs>
      <w:snapToGrid w:val="0"/>
      <w:jc w:val="left"/>
    </w:pPr>
    <w:rPr>
      <w:sz w:val="18"/>
      <w:szCs w:val="18"/>
    </w:rPr>
  </w:style>
  <w:style w:type="paragraph" w:styleId="a8">
    <w:name w:val="header"/>
    <w:basedOn w:val="a"/>
    <w:link w:val="Char4"/>
    <w:uiPriority w:val="99"/>
    <w:unhideWhenUsed/>
    <w:rsid w:val="00B03318"/>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sid w:val="00B03318"/>
    <w:rPr>
      <w:color w:val="0563C1"/>
      <w:u w:val="single"/>
    </w:rPr>
  </w:style>
  <w:style w:type="character" w:styleId="aa">
    <w:name w:val="annotation reference"/>
    <w:uiPriority w:val="99"/>
    <w:unhideWhenUsed/>
    <w:rsid w:val="00B03318"/>
    <w:rPr>
      <w:sz w:val="21"/>
      <w:szCs w:val="21"/>
    </w:rPr>
  </w:style>
  <w:style w:type="paragraph" w:customStyle="1" w:styleId="1">
    <w:name w:val="列出段落1"/>
    <w:basedOn w:val="a"/>
    <w:uiPriority w:val="34"/>
    <w:qFormat/>
    <w:rsid w:val="00B03318"/>
    <w:pPr>
      <w:ind w:firstLineChars="200" w:firstLine="420"/>
    </w:pPr>
  </w:style>
  <w:style w:type="character" w:customStyle="1" w:styleId="Char4">
    <w:name w:val="页眉 Char"/>
    <w:link w:val="a8"/>
    <w:uiPriority w:val="99"/>
    <w:rsid w:val="00B03318"/>
    <w:rPr>
      <w:rFonts w:ascii="Calibri" w:eastAsia="宋体" w:hAnsi="Calibri" w:cs="Times New Roman"/>
      <w:sz w:val="18"/>
      <w:szCs w:val="18"/>
    </w:rPr>
  </w:style>
  <w:style w:type="character" w:customStyle="1" w:styleId="Char3">
    <w:name w:val="页脚 Char"/>
    <w:link w:val="a7"/>
    <w:uiPriority w:val="99"/>
    <w:rsid w:val="00B03318"/>
    <w:rPr>
      <w:rFonts w:ascii="Calibri" w:eastAsia="宋体" w:hAnsi="Calibri" w:cs="Times New Roman"/>
      <w:sz w:val="18"/>
      <w:szCs w:val="18"/>
    </w:rPr>
  </w:style>
  <w:style w:type="character" w:customStyle="1" w:styleId="Char2">
    <w:name w:val="批注框文本 Char"/>
    <w:link w:val="a6"/>
    <w:uiPriority w:val="99"/>
    <w:semiHidden/>
    <w:rsid w:val="00B03318"/>
    <w:rPr>
      <w:rFonts w:ascii="Calibri" w:eastAsia="宋体" w:hAnsi="Calibri" w:cs="Times New Roman"/>
      <w:sz w:val="18"/>
      <w:szCs w:val="18"/>
    </w:rPr>
  </w:style>
  <w:style w:type="character" w:customStyle="1" w:styleId="10">
    <w:name w:val="占位符文本1"/>
    <w:uiPriority w:val="99"/>
    <w:semiHidden/>
    <w:rsid w:val="00B03318"/>
    <w:rPr>
      <w:color w:val="808080"/>
    </w:rPr>
  </w:style>
  <w:style w:type="character" w:customStyle="1" w:styleId="Char0">
    <w:name w:val="批注文字 Char"/>
    <w:link w:val="a4"/>
    <w:uiPriority w:val="99"/>
    <w:semiHidden/>
    <w:rsid w:val="00B03318"/>
    <w:rPr>
      <w:rFonts w:ascii="Calibri" w:eastAsia="宋体" w:hAnsi="Calibri" w:cs="Times New Roman"/>
    </w:rPr>
  </w:style>
  <w:style w:type="character" w:customStyle="1" w:styleId="Char">
    <w:name w:val="批注主题 Char"/>
    <w:link w:val="a3"/>
    <w:uiPriority w:val="99"/>
    <w:semiHidden/>
    <w:rsid w:val="00B03318"/>
    <w:rPr>
      <w:rFonts w:ascii="Calibri" w:eastAsia="宋体" w:hAnsi="Calibri" w:cs="Times New Roman"/>
      <w:b/>
      <w:bCs/>
    </w:rPr>
  </w:style>
  <w:style w:type="character" w:customStyle="1" w:styleId="2Char">
    <w:name w:val="标题 2 Char"/>
    <w:link w:val="2"/>
    <w:uiPriority w:val="9"/>
    <w:rsid w:val="00B03318"/>
    <w:rPr>
      <w:rFonts w:ascii="Calibri Light" w:eastAsia="宋体" w:hAnsi="Calibri Light" w:cs="Times New Roman"/>
      <w:b/>
      <w:bCs/>
      <w:sz w:val="32"/>
      <w:szCs w:val="32"/>
    </w:rPr>
  </w:style>
  <w:style w:type="character" w:customStyle="1" w:styleId="Char1">
    <w:name w:val="日期 Char"/>
    <w:link w:val="a5"/>
    <w:uiPriority w:val="99"/>
    <w:semiHidden/>
    <w:qFormat/>
    <w:rsid w:val="00B03318"/>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345</Words>
  <Characters>1972</Characters>
  <Application>Microsoft Office Word</Application>
  <DocSecurity>0</DocSecurity>
  <Lines>16</Lines>
  <Paragraphs>4</Paragraphs>
  <ScaleCrop>false</ScaleCrop>
  <Company>noahedu</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meiling chen</dc:creator>
  <cp:lastModifiedBy>Administrator</cp:lastModifiedBy>
  <cp:revision>9</cp:revision>
  <dcterms:created xsi:type="dcterms:W3CDTF">2015-10-15T09:51:00Z</dcterms:created>
  <dcterms:modified xsi:type="dcterms:W3CDTF">2017-01-20T05:47:00Z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