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ED" w:rsidRPr="00EC16B1" w:rsidRDefault="00C801ED" w:rsidP="00C801ED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2</w:t>
      </w:r>
      <w:r>
        <w:rPr>
          <w:rFonts w:ascii="Times New Romans" w:eastAsia="仿宋_GB2312" w:hAnsi="Times New Romans" w:hint="eastAsia"/>
          <w:sz w:val="32"/>
          <w:szCs w:val="32"/>
        </w:rPr>
        <w:t>：</w:t>
      </w:r>
    </w:p>
    <w:p w:rsidR="00C801ED" w:rsidRPr="00EC16B1" w:rsidRDefault="00C801ED" w:rsidP="00C801ED">
      <w:pPr>
        <w:ind w:firstLineChars="300" w:firstLine="960"/>
        <w:rPr>
          <w:rFonts w:ascii="Times New Romans" w:eastAsia="方正小标宋简体" w:hAnsi="Times New Romans"/>
          <w:spacing w:val="-20"/>
          <w:sz w:val="32"/>
          <w:szCs w:val="32"/>
        </w:rPr>
      </w:pPr>
      <w:r>
        <w:rPr>
          <w:rFonts w:ascii="Times New Romans" w:eastAsia="仿宋_GB2312" w:hAnsi="Times New Romans"/>
          <w:sz w:val="32"/>
          <w:szCs w:val="32"/>
        </w:rPr>
        <w:t xml:space="preserve">      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20</w:t>
      </w:r>
      <w:r>
        <w:rPr>
          <w:rFonts w:ascii="Times New Romans" w:eastAsia="方正小标宋简体" w:hAnsi="Times New Romans" w:hint="eastAsia"/>
          <w:sz w:val="32"/>
          <w:szCs w:val="32"/>
        </w:rPr>
        <w:t>18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3828"/>
        <w:gridCol w:w="963"/>
        <w:gridCol w:w="2722"/>
      </w:tblGrid>
      <w:tr w:rsidR="00C801ED" w:rsidRPr="00EC16B1" w:rsidTr="00E11A07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C801ED" w:rsidRPr="00EC16B1" w:rsidRDefault="00C801ED" w:rsidP="00E11A07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0" w:name="TeacherName"/>
            <w:bookmarkEnd w:id="0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C801ED" w:rsidRPr="00EC16B1" w:rsidRDefault="00C801ED" w:rsidP="00E11A07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北京市顺义</w:t>
            </w:r>
            <w:proofErr w:type="gramStart"/>
            <w:r>
              <w:rPr>
                <w:rFonts w:ascii="Times New Romans" w:eastAsia="仿宋_GB2312" w:hAnsi="Times New Romans"/>
                <w:color w:val="993300"/>
                <w:sz w:val="24"/>
              </w:rPr>
              <w:t>区裕龙小学</w:t>
            </w:r>
            <w:proofErr w:type="gramEnd"/>
          </w:p>
        </w:tc>
      </w:tr>
      <w:tr w:rsidR="00C801ED" w:rsidRPr="00EC16B1" w:rsidTr="00E11A07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1ED" w:rsidRPr="00EC16B1" w:rsidRDefault="00C801ED" w:rsidP="00E11A07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proofErr w:type="gramStart"/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ED" w:rsidRPr="00EC16B1" w:rsidRDefault="00C801ED" w:rsidP="00E11A07">
            <w:pPr>
              <w:rPr>
                <w:rFonts w:ascii="Times New Romans" w:eastAsia="仿宋_GB2312" w:hAnsi="Times New Romans"/>
                <w:sz w:val="24"/>
              </w:rPr>
            </w:pPr>
            <w:bookmarkStart w:id="1" w:name="thinking_1"/>
            <w:bookmarkEnd w:id="1"/>
            <w:r>
              <w:rPr>
                <w:rFonts w:ascii="Times New Romans" w:eastAsia="仿宋_GB2312" w:hAnsi="Times New Romans"/>
                <w:sz w:val="24"/>
              </w:rPr>
              <w:t>平行四边形的面积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ED" w:rsidRPr="00EC16B1" w:rsidRDefault="00C801ED" w:rsidP="00E11A07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ED" w:rsidRPr="00EC16B1" w:rsidRDefault="00C801ED" w:rsidP="00E11A07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崔晓纯</w:t>
            </w:r>
          </w:p>
        </w:tc>
      </w:tr>
      <w:tr w:rsidR="00C801ED" w:rsidRPr="00EC16B1" w:rsidTr="00E11A07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1ED" w:rsidRPr="00EC16B1" w:rsidRDefault="00C801ED" w:rsidP="00E11A07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ED" w:rsidRPr="00EC16B1" w:rsidRDefault="00C801ED" w:rsidP="00E11A07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数学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ED" w:rsidRPr="00EC16B1" w:rsidRDefault="00C801ED" w:rsidP="00E11A07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ED" w:rsidRPr="00EC16B1" w:rsidRDefault="00C801ED" w:rsidP="00E11A07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五年级</w:t>
            </w:r>
          </w:p>
        </w:tc>
      </w:tr>
      <w:tr w:rsidR="00C801ED" w:rsidRPr="00EC16B1" w:rsidTr="00E11A07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1ED" w:rsidRPr="00EC16B1" w:rsidRDefault="00C801ED" w:rsidP="00E11A07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C801ED" w:rsidRPr="00EC16B1" w:rsidTr="00E11A07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C801ED" w:rsidRPr="00116B6B" w:rsidRDefault="00C801ED" w:rsidP="00C801ED">
            <w:pPr>
              <w:numPr>
                <w:ilvl w:val="0"/>
                <w:numId w:val="1"/>
              </w:num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运用了新媒体技术的抢答功能，提高了学生的积极性和参与度。</w:t>
            </w:r>
          </w:p>
          <w:p w:rsidR="00C801ED" w:rsidRDefault="00C801ED" w:rsidP="00C801ED">
            <w:pPr>
              <w:numPr>
                <w:ilvl w:val="0"/>
                <w:numId w:val="1"/>
              </w:num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运用了互动题板功能，可以把任务和操作发送到学生的</w:t>
            </w:r>
            <w:r>
              <w:rPr>
                <w:rFonts w:ascii="Times New Romans" w:eastAsia="仿宋_GB2312" w:hAnsi="Times New Romans" w:hint="eastAsia"/>
                <w:sz w:val="24"/>
              </w:rPr>
              <w:t>pad</w:t>
            </w:r>
            <w:r>
              <w:rPr>
                <w:rFonts w:ascii="Times New Romans" w:eastAsia="仿宋_GB2312" w:hAnsi="Times New Romans" w:hint="eastAsia"/>
                <w:sz w:val="24"/>
              </w:rPr>
              <w:t>上，方便，学生操作起来简单有效。还能看到学生有多少人提交，对学生有督促作用。</w:t>
            </w:r>
          </w:p>
          <w:p w:rsidR="00C801ED" w:rsidRDefault="00C801ED" w:rsidP="00C801ED">
            <w:pPr>
              <w:numPr>
                <w:ilvl w:val="0"/>
                <w:numId w:val="1"/>
              </w:num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还用到了新技术的投票功能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通过学生投票知道有多少学生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做对</w:t>
            </w:r>
            <w:proofErr w:type="gramEnd"/>
            <w:r>
              <w:rPr>
                <w:rFonts w:ascii="Times New Romans" w:eastAsia="仿宋_GB2312" w:hAnsi="Times New Romans"/>
                <w:sz w:val="24"/>
              </w:rPr>
              <w:t>了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多少学生做错了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还能激发学生的兴趣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提高参与度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C801ED" w:rsidRDefault="00C801ED" w:rsidP="00C801ED">
            <w:pPr>
              <w:numPr>
                <w:ilvl w:val="0"/>
                <w:numId w:val="1"/>
              </w:num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运用了新媒体技术的对比功能，通过对比，展示不同的思考过程，还可以把正确与错误对比，方便学生思考。</w:t>
            </w:r>
          </w:p>
          <w:p w:rsidR="00C801ED" w:rsidRDefault="00C801ED" w:rsidP="00C801ED">
            <w:pPr>
              <w:numPr>
                <w:ilvl w:val="0"/>
                <w:numId w:val="1"/>
              </w:num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运用了新媒体技术的手绘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在画图时非常方便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颜色不同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对比观察都非常明确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C801ED" w:rsidRDefault="00C801ED" w:rsidP="00C801ED">
            <w:pPr>
              <w:numPr>
                <w:ilvl w:val="0"/>
                <w:numId w:val="1"/>
              </w:num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新媒体技术的填空题，最终可以看到全班每道题的正确率，每道题的正确答案，以及学生错误答案。</w:t>
            </w:r>
          </w:p>
          <w:p w:rsidR="00C801ED" w:rsidRPr="00116B6B" w:rsidRDefault="00C801ED" w:rsidP="00C801ED">
            <w:pPr>
              <w:numPr>
                <w:ilvl w:val="0"/>
                <w:numId w:val="1"/>
              </w:num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新媒体技术奖励功能，能够随时奖励学生回答情况，完成答题情况，调动学生积极性。</w:t>
            </w:r>
          </w:p>
        </w:tc>
      </w:tr>
      <w:tr w:rsidR="00C801ED" w:rsidRPr="00EC16B1" w:rsidTr="00E11A07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1ED" w:rsidRPr="00EC16B1" w:rsidRDefault="00C801ED" w:rsidP="00E11A07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</w:t>
            </w:r>
            <w:r>
              <w:rPr>
                <w:rFonts w:ascii="Times New Romans" w:eastAsia="仿宋_GB2312" w:hAnsi="Times New Romans" w:hint="eastAsia"/>
                <w:sz w:val="24"/>
              </w:rPr>
              <w:t>哪些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反思（如教学策略与方法的实施、教学重难点的解决、师生深层次互动，生成性的问题解决等）。</w:t>
            </w:r>
          </w:p>
        </w:tc>
      </w:tr>
      <w:tr w:rsidR="00C801ED" w:rsidRPr="00EC16B1" w:rsidTr="00E11A07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1ED" w:rsidRDefault="00C801ED" w:rsidP="00E11A07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15'15''-19'56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</w:t>
            </w:r>
            <w:r>
              <w:rPr>
                <w:rFonts w:ascii="Times New Romans" w:eastAsia="仿宋_GB2312" w:hAnsi="Times New Romans" w:hint="eastAsia"/>
                <w:sz w:val="24"/>
              </w:rPr>
              <w:t>这部分通过新媒体技术的对比功能，学生能够清楚的看到平行四边形</w:t>
            </w: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通过割补的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方法变成长方形，并且通过方格纸能够知道长与宽相同，自然验证面积相等。同时可以看到都用的割补法，但把长方形可以割成三角形，也可以割成梯形。</w:t>
            </w:r>
          </w:p>
          <w:p w:rsidR="00C801ED" w:rsidRDefault="00C801ED" w:rsidP="00E11A07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21'15''-23'5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0''</w:t>
            </w:r>
            <w:r>
              <w:rPr>
                <w:rFonts w:ascii="Times New Romans" w:eastAsia="仿宋_GB2312" w:hAnsi="Times New Romans" w:hint="eastAsia"/>
                <w:sz w:val="24"/>
              </w:rPr>
              <w:t>这部分运用新媒体技术互动题板，学生通过操作，媒体的演示，再次观察到平行四边形转化成长方形的过程，同时还能够发现可以割成两个三角形，在补成长方形。</w:t>
            </w:r>
          </w:p>
          <w:p w:rsidR="00C801ED" w:rsidRPr="00C24080" w:rsidRDefault="00C801ED" w:rsidP="00E11A07">
            <w:pPr>
              <w:jc w:val="left"/>
              <w:rPr>
                <w:rFonts w:ascii="Times New Romans" w:eastAsia="仿宋_GB2312" w:hAnsi="Times New Romans" w:hint="eastAsia"/>
                <w:color w:val="FF0000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36'30''-39'3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0''</w:t>
            </w:r>
            <w:r>
              <w:rPr>
                <w:rFonts w:ascii="Times New Romans" w:eastAsia="仿宋_GB2312" w:hAnsi="Times New Romans" w:hint="eastAsia"/>
                <w:sz w:val="24"/>
              </w:rPr>
              <w:t>这部分猜测平行线间可以画出多少</w:t>
            </w: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个等底等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高的平行四边形时，通过新媒体技术互动题</w:t>
            </w: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板学生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操作，能够验证自己的猜想可以画无数个，这样有实际的操作，能够明确感受到可以画无数个这样的平行四边形。</w:t>
            </w:r>
          </w:p>
          <w:p w:rsidR="00C801ED" w:rsidRPr="00EC16B1" w:rsidRDefault="00C801ED" w:rsidP="00E11A07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C801ED" w:rsidRPr="00EC16B1" w:rsidTr="00E11A07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1ED" w:rsidRPr="00EC16B1" w:rsidRDefault="00C801ED" w:rsidP="00E11A07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C801ED" w:rsidRPr="00EC16B1" w:rsidTr="00E11A07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01ED" w:rsidRPr="00956DBC" w:rsidRDefault="00C801ED" w:rsidP="00E11A07">
            <w:pPr>
              <w:rPr>
                <w:rFonts w:ascii="Times New Romans" w:eastAsia="仿宋_GB2312" w:hAnsi="Times New Romans" w:hint="eastAsia"/>
                <w:sz w:val="24"/>
              </w:rPr>
            </w:pPr>
            <w:r w:rsidRPr="00956DBC">
              <w:rPr>
                <w:rFonts w:ascii="Times New Romans" w:eastAsia="仿宋_GB2312" w:hAnsi="Times New Romans" w:hint="eastAsia"/>
                <w:sz w:val="24"/>
              </w:rPr>
              <w:t>新技术应用于教学的创新点：</w:t>
            </w:r>
          </w:p>
          <w:p w:rsidR="00C801ED" w:rsidRPr="009C74E7" w:rsidRDefault="00C801ED" w:rsidP="00E11A07">
            <w:pPr>
              <w:rPr>
                <w:rFonts w:ascii="Times New Romans" w:eastAsia="仿宋_GB2312" w:hAnsi="Times New Romans" w:hint="eastAsia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1.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教学环节更开放</w:t>
            </w:r>
          </w:p>
          <w:p w:rsidR="00C801ED" w:rsidRDefault="00C801ED" w:rsidP="00E11A07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在教学设计时，借助新媒体可以让学生进行多次的操作，先是画长方形，再画和这个长方形面积相等的平行四边形，然后验证面积是否相等。这样的操作环节更开放，学生操作更简单，观察更明显。同时加上新技术的辅助，学生通过操作观察平行四边形转化成长方形的过程，印象更深刻。在练习时，新技术能够很好的辅助学生理解平行线间能够画出</w:t>
            </w: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无数个等底等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高的平行四边形。</w:t>
            </w:r>
          </w:p>
          <w:p w:rsidR="00C801ED" w:rsidRPr="009C74E7" w:rsidRDefault="00C801ED" w:rsidP="00E11A07">
            <w:pPr>
              <w:rPr>
                <w:rFonts w:ascii="Times New Romans" w:eastAsia="仿宋_GB2312" w:hAnsi="Times New Romans" w:hint="eastAsia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2.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提高课堂效率</w:t>
            </w:r>
          </w:p>
          <w:p w:rsidR="00C801ED" w:rsidRPr="00EC16B1" w:rsidRDefault="00C801ED" w:rsidP="00E11A07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有了新技术的支持，学生操作更简单，观察比较更方便，这大大提高了课堂的效率。同时根据学生提交的作品以及答案，教师能够快速的找到想要的资源，方便快捷。还能看到学生提交的人数，督促没完成的学生加快速度，提升学生的时间观念。对于练习能够清楚的知道正确率，找到错误的答案，以及出示正确的答案，这都提高了课堂效率。新技术的支持下，抢答、投票、奖励，都激发了学生的学习兴趣，提高了学生参与学习人数。</w:t>
            </w:r>
          </w:p>
        </w:tc>
      </w:tr>
      <w:tr w:rsidR="00C801ED" w:rsidRPr="00EC16B1" w:rsidTr="00E11A07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1ED" w:rsidRPr="00EC16B1" w:rsidRDefault="00C801ED" w:rsidP="00E11A07">
            <w:pPr>
              <w:jc w:val="left"/>
              <w:rPr>
                <w:rFonts w:ascii="Times New Romans" w:eastAsia="仿宋_GB2312" w:hAnsi="Times New Romans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lastRenderedPageBreak/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C801ED" w:rsidRPr="00EC16B1" w:rsidTr="00E11A07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C801ED" w:rsidRDefault="00C801ED" w:rsidP="00C801ED">
            <w:pPr>
              <w:numPr>
                <w:ilvl w:val="0"/>
                <w:numId w:val="2"/>
              </w:num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新媒体技术对图形这部分内容比较适用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学生操作简单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色彩鲜明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有助于学生的观察与理解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C801ED" w:rsidRDefault="00C801ED" w:rsidP="00C801ED">
            <w:pPr>
              <w:numPr>
                <w:ilvl w:val="0"/>
                <w:numId w:val="2"/>
              </w:num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抢答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/>
                <w:sz w:val="24"/>
              </w:rPr>
              <w:t>投票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/>
                <w:sz w:val="24"/>
              </w:rPr>
              <w:t>对比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/>
                <w:sz w:val="24"/>
              </w:rPr>
              <w:t>奖励这些功能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能够调动学生的积极性与参与度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C801ED" w:rsidRPr="00EC16B1" w:rsidRDefault="00C801ED" w:rsidP="00C801ED">
            <w:pPr>
              <w:numPr>
                <w:ilvl w:val="0"/>
                <w:numId w:val="2"/>
              </w:num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在练习过程中，有全班的答题情况，正确率，以及能看到正确的答案，以及学生的错误答案，在讲练习时，这是很好的依据，非常方便。</w:t>
            </w:r>
          </w:p>
        </w:tc>
      </w:tr>
    </w:tbl>
    <w:p w:rsidR="00C801ED" w:rsidRPr="00EC16B1" w:rsidRDefault="00C801ED" w:rsidP="00C801ED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注：此模板可另附纸，字数</w:t>
      </w:r>
      <w:r w:rsidRPr="00EC16B1">
        <w:rPr>
          <w:rFonts w:ascii="Times New Romans" w:eastAsia="仿宋_GB2312" w:hAnsi="Times New Romans" w:hint="eastAsia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p w:rsidR="00C15B41" w:rsidRPr="00C801ED" w:rsidRDefault="00C15B41">
      <w:bookmarkStart w:id="2" w:name="_GoBack"/>
      <w:bookmarkEnd w:id="2"/>
    </w:p>
    <w:sectPr w:rsidR="00C15B41" w:rsidRPr="00C8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B5" w:rsidRDefault="00B701B5" w:rsidP="00C801ED">
      <w:r>
        <w:separator/>
      </w:r>
    </w:p>
  </w:endnote>
  <w:endnote w:type="continuationSeparator" w:id="0">
    <w:p w:rsidR="00B701B5" w:rsidRDefault="00B701B5" w:rsidP="00C8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B5" w:rsidRDefault="00B701B5" w:rsidP="00C801ED">
      <w:r>
        <w:separator/>
      </w:r>
    </w:p>
  </w:footnote>
  <w:footnote w:type="continuationSeparator" w:id="0">
    <w:p w:rsidR="00B701B5" w:rsidRDefault="00B701B5" w:rsidP="00C8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708C"/>
    <w:multiLevelType w:val="hybridMultilevel"/>
    <w:tmpl w:val="D4B6F2C8"/>
    <w:lvl w:ilvl="0" w:tplc="E19A6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CB0310"/>
    <w:multiLevelType w:val="hybridMultilevel"/>
    <w:tmpl w:val="D97C235A"/>
    <w:lvl w:ilvl="0" w:tplc="BAAE5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9C"/>
    <w:rsid w:val="00027A9C"/>
    <w:rsid w:val="00B701B5"/>
    <w:rsid w:val="00C15B41"/>
    <w:rsid w:val="00C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1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2017-12-26T07:48:00Z</dcterms:created>
  <dcterms:modified xsi:type="dcterms:W3CDTF">2017-12-26T07:48:00Z</dcterms:modified>
</cp:coreProperties>
</file>