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8D" w:rsidRDefault="00D90C8D" w:rsidP="00D90C8D">
      <w:pPr>
        <w:adjustRightInd w:val="0"/>
        <w:snapToGrid w:val="0"/>
        <w:jc w:val="lef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附表2：</w:t>
      </w:r>
    </w:p>
    <w:p w:rsidR="00D90C8D" w:rsidRDefault="00D90C8D" w:rsidP="00D90C8D">
      <w:pPr>
        <w:adjustRightInd w:val="0"/>
        <w:snapToGrid w:val="0"/>
        <w:jc w:val="center"/>
        <w:rPr>
          <w:rFonts w:ascii="仿宋_GB2312" w:eastAsia="仿宋_GB2312" w:hAnsi="楷体"/>
          <w:sz w:val="32"/>
          <w:szCs w:val="32"/>
        </w:rPr>
      </w:pPr>
      <w:r>
        <w:rPr>
          <w:rFonts w:ascii="方正小标宋简体" w:eastAsia="方正小标宋简体" w:hAnsi="楷体" w:hint="eastAsia"/>
          <w:sz w:val="32"/>
          <w:szCs w:val="32"/>
        </w:rPr>
        <w:t>2020年观摩活动教学设计表</w:t>
      </w:r>
    </w:p>
    <w:tbl>
      <w:tblPr>
        <w:tblpPr w:leftFromText="180" w:rightFromText="180" w:vertAnchor="text" w:horzAnchor="margin" w:tblpXSpec="center" w:tblpY="128"/>
        <w:tblW w:w="87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56"/>
        <w:gridCol w:w="474"/>
        <w:gridCol w:w="1355"/>
        <w:gridCol w:w="1184"/>
        <w:gridCol w:w="1241"/>
        <w:gridCol w:w="266"/>
        <w:gridCol w:w="994"/>
        <w:gridCol w:w="512"/>
        <w:gridCol w:w="1507"/>
      </w:tblGrid>
      <w:tr w:rsidR="00D90C8D" w:rsidTr="00C425B0">
        <w:trPr>
          <w:trHeight w:val="538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C8D" w:rsidRDefault="00D90C8D" w:rsidP="00C425B0">
            <w:pPr>
              <w:adjustRightInd w:val="0"/>
              <w:snapToGrid w:val="0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一、基本信息</w:t>
            </w:r>
          </w:p>
        </w:tc>
      </w:tr>
      <w:tr w:rsidR="00D90C8D" w:rsidTr="00C425B0">
        <w:trPr>
          <w:trHeight w:val="462"/>
        </w:trPr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学校全称</w:t>
            </w:r>
          </w:p>
        </w:tc>
        <w:tc>
          <w:tcPr>
            <w:tcW w:w="70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成都市泡桐树小学西区分校</w:t>
            </w:r>
          </w:p>
        </w:tc>
      </w:tr>
      <w:tr w:rsidR="00D90C8D" w:rsidTr="00C425B0">
        <w:trPr>
          <w:trHeight w:val="455"/>
        </w:trPr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课名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梳理中建模，变式中提升</w:t>
            </w:r>
          </w:p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          ---多边形面积的复习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教师姓名</w:t>
            </w:r>
          </w:p>
        </w:tc>
        <w:tc>
          <w:tcPr>
            <w:tcW w:w="2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杨涛</w:t>
            </w:r>
          </w:p>
        </w:tc>
      </w:tr>
      <w:tr w:rsidR="00D90C8D" w:rsidTr="00C425B0">
        <w:trPr>
          <w:trHeight w:val="455"/>
        </w:trPr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学科（版本）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北师大版数学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章节</w:t>
            </w:r>
          </w:p>
        </w:tc>
        <w:tc>
          <w:tcPr>
            <w:tcW w:w="2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第四单元</w:t>
            </w:r>
          </w:p>
        </w:tc>
      </w:tr>
      <w:tr w:rsidR="00D90C8D" w:rsidTr="00C425B0">
        <w:trPr>
          <w:trHeight w:val="461"/>
        </w:trPr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课时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第   1  课时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年级</w:t>
            </w:r>
          </w:p>
        </w:tc>
        <w:tc>
          <w:tcPr>
            <w:tcW w:w="2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五年级</w:t>
            </w:r>
          </w:p>
        </w:tc>
      </w:tr>
      <w:tr w:rsidR="00D90C8D" w:rsidTr="00C425B0">
        <w:trPr>
          <w:trHeight w:val="1685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8D" w:rsidRDefault="00D90C8D" w:rsidP="00D90C8D">
            <w:pPr>
              <w:adjustRightInd w:val="0"/>
              <w:snapToGrid w:val="0"/>
              <w:spacing w:beforeLines="50" w:afterLines="30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二、教学目标</w:t>
            </w:r>
          </w:p>
          <w:p w:rsidR="00D90C8D" w:rsidRDefault="00D90C8D" w:rsidP="00D90C8D">
            <w:pPr>
              <w:adjustRightInd w:val="0"/>
              <w:snapToGrid w:val="0"/>
              <w:spacing w:beforeLines="50" w:afterLines="3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1、通过回顾梳理多边形面积公式的推导过程，将相对独立的知识点进行系统的归纳整理，连点成线。</w:t>
            </w:r>
          </w:p>
          <w:p w:rsidR="00D90C8D" w:rsidRDefault="00D90C8D" w:rsidP="00D90C8D">
            <w:pPr>
              <w:adjustRightInd w:val="0"/>
              <w:snapToGrid w:val="0"/>
              <w:spacing w:beforeLines="50" w:afterLines="3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2、梳理多边形之间的关系，沟通长（正）方形、平行四边形、三角形、梯形之间的相通点，更深层次的感受等积变形的含义，充分体会转化的数学思想。</w:t>
            </w:r>
          </w:p>
          <w:p w:rsidR="00D90C8D" w:rsidRDefault="00D90C8D" w:rsidP="00D90C8D">
            <w:pPr>
              <w:adjustRightInd w:val="0"/>
              <w:snapToGrid w:val="0"/>
              <w:spacing w:beforeLines="50" w:afterLines="3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3、培养学生善于归纳整理的能力，学以致用的能力，将知识串联分析的能力。</w:t>
            </w:r>
          </w:p>
          <w:p w:rsidR="00D90C8D" w:rsidRDefault="00D90C8D" w:rsidP="00D90C8D">
            <w:pPr>
              <w:adjustRightInd w:val="0"/>
              <w:snapToGrid w:val="0"/>
              <w:spacing w:beforeLines="50" w:afterLines="30"/>
              <w:rPr>
                <w:rFonts w:ascii="仿宋_GB2312" w:eastAsia="仿宋_GB2312" w:hAnsi="楷体"/>
                <w:sz w:val="24"/>
              </w:rPr>
            </w:pPr>
          </w:p>
        </w:tc>
      </w:tr>
      <w:tr w:rsidR="00D90C8D" w:rsidTr="00C425B0">
        <w:trPr>
          <w:trHeight w:val="1552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C8D" w:rsidRDefault="00D90C8D" w:rsidP="00D90C8D">
            <w:pPr>
              <w:adjustRightInd w:val="0"/>
              <w:snapToGrid w:val="0"/>
              <w:spacing w:afterLines="30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三、学习者分析</w:t>
            </w:r>
          </w:p>
          <w:p w:rsidR="00D90C8D" w:rsidRDefault="00D90C8D" w:rsidP="00D90C8D">
            <w:pPr>
              <w:adjustRightInd w:val="0"/>
              <w:snapToGrid w:val="0"/>
              <w:spacing w:afterLines="3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生已经经历了长（正）方形、平行四边形、三角形和梯形的面积公式推导过程，并能应用这些公式解决相应的问题，有了一定的复习整理的经验，但对于这些图形之间的联系和背后的关系了解还不够深入，透彻，对知识点的整理串联、融会贯通的能力还有待提高。</w:t>
            </w:r>
          </w:p>
        </w:tc>
      </w:tr>
      <w:tr w:rsidR="00D90C8D" w:rsidTr="00C425B0">
        <w:trPr>
          <w:trHeight w:val="1545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C8D" w:rsidRDefault="00D90C8D" w:rsidP="00D90C8D">
            <w:pPr>
              <w:adjustRightInd w:val="0"/>
              <w:snapToGrid w:val="0"/>
              <w:spacing w:afterLines="30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四、教学重难点分析及解决措施</w:t>
            </w:r>
          </w:p>
          <w:p w:rsidR="00D90C8D" w:rsidRDefault="00D90C8D" w:rsidP="00D90C8D">
            <w:pPr>
              <w:adjustRightInd w:val="0"/>
              <w:snapToGrid w:val="0"/>
              <w:spacing w:afterLines="3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怎样自然的把这些知识点串联成一条线，并理清他们之间的关系，在此过程出梳理出一些数学思想和方法为后续学习所用。</w:t>
            </w:r>
          </w:p>
        </w:tc>
      </w:tr>
      <w:tr w:rsidR="00D90C8D" w:rsidTr="00C425B0">
        <w:trPr>
          <w:trHeight w:val="461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C8D" w:rsidRDefault="00D90C8D" w:rsidP="00D90C8D">
            <w:pPr>
              <w:adjustRightInd w:val="0"/>
              <w:snapToGrid w:val="0"/>
              <w:spacing w:afterLines="30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五、教学设计</w:t>
            </w:r>
          </w:p>
        </w:tc>
      </w:tr>
      <w:tr w:rsidR="00D90C8D" w:rsidTr="00C425B0">
        <w:trPr>
          <w:trHeight w:val="461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教学环节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起止时间（’”- ’”）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  <w:highlight w:val="cyan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环节目标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教学内容</w:t>
            </w: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学生活动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C8D" w:rsidRDefault="00D90C8D" w:rsidP="00C425B0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媒体作用及分析 </w:t>
            </w:r>
          </w:p>
        </w:tc>
      </w:tr>
      <w:tr w:rsidR="00D90C8D" w:rsidTr="00C425B0">
        <w:trPr>
          <w:trHeight w:val="461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回顾提炼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5’30”-12 ’30”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回顾多边形面积公式的推导过程，提炼出方法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欣赏同学们在前测中整理回顾的推导办法，提炼出推导办</w:t>
            </w:r>
            <w:r>
              <w:rPr>
                <w:rFonts w:ascii="仿宋_GB2312" w:eastAsia="仿宋_GB2312" w:hAnsi="楷体" w:hint="eastAsia"/>
                <w:sz w:val="24"/>
              </w:rPr>
              <w:lastRenderedPageBreak/>
              <w:t>法</w:t>
            </w: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lastRenderedPageBreak/>
              <w:t>1、前测完成：用自己喜欢的方式回顾多边形面积公式推</w:t>
            </w:r>
            <w:r>
              <w:rPr>
                <w:rFonts w:ascii="仿宋_GB2312" w:eastAsia="仿宋_GB2312" w:hAnsi="楷体" w:hint="eastAsia"/>
                <w:sz w:val="24"/>
              </w:rPr>
              <w:lastRenderedPageBreak/>
              <w:t>导过程（思维导图、视频、画图.....</w:t>
            </w:r>
            <w:r>
              <w:rPr>
                <w:rFonts w:ascii="仿宋_GB2312" w:eastAsia="仿宋_GB2312" w:hAnsi="楷体"/>
                <w:sz w:val="24"/>
              </w:rPr>
              <w:t>）</w:t>
            </w:r>
          </w:p>
          <w:p w:rsidR="00D90C8D" w:rsidRDefault="00D90C8D" w:rsidP="00C425B0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2、欣赏作品，并再次回忆，边回忆边提炼出推导方法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C8D" w:rsidRDefault="00D90C8D" w:rsidP="00C425B0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lastRenderedPageBreak/>
              <w:t>优学派电子书包前测，便于收集展示学生整理的作品</w:t>
            </w:r>
          </w:p>
        </w:tc>
      </w:tr>
      <w:tr w:rsidR="00D90C8D" w:rsidTr="00C425B0">
        <w:trPr>
          <w:trHeight w:val="461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lastRenderedPageBreak/>
              <w:t>连点成线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12’31”-14 ’30”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感受知识的不断生长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把这几个图形根据学习顺序串联起来，发现是由长方形逐步生长出来的</w:t>
            </w: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回顾学习过程，发现长方形是树根，平行四边形是树干，三角形和梯形是树枝，学习的知识就像一棵树在不断生长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C8D" w:rsidRDefault="00D90C8D" w:rsidP="00C425B0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无</w:t>
            </w:r>
          </w:p>
        </w:tc>
      </w:tr>
      <w:tr w:rsidR="00D90C8D" w:rsidTr="00C425B0">
        <w:trPr>
          <w:trHeight w:val="461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沟通转化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14’31”-20 ’30”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梳理关系，体会转化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回顾梳理这些图形之间的关系，发现都是用转化的思想来进行推导的</w:t>
            </w: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观察，分析，回顾，梳理，发现这些图形之间都可以互相转化，正因为它们之间能互相转化，才能由已知的推导出未知图形的面积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C8D" w:rsidRDefault="00D90C8D" w:rsidP="00C425B0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无</w:t>
            </w:r>
          </w:p>
        </w:tc>
      </w:tr>
      <w:tr w:rsidR="00D90C8D" w:rsidTr="00C425B0">
        <w:trPr>
          <w:trHeight w:val="461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变式提升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20’31”-35 ’40”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等积变形，体会图形之间的本质联系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画出和已知图形等高等面积的图形，对比发现这些图形之间的联系</w:t>
            </w: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先画，再观察比较分析这些图形，发现三角形可以看成上底是0的梯</w:t>
            </w:r>
            <w:r>
              <w:rPr>
                <w:rFonts w:ascii="仿宋_GB2312" w:eastAsia="仿宋_GB2312" w:hAnsi="楷体" w:hint="eastAsia"/>
                <w:sz w:val="24"/>
              </w:rPr>
              <w:lastRenderedPageBreak/>
              <w:t>形，平行四边形可以看成上下底相等的梯形，更深刻的感受这些图形之间的联系，体会数学的本质</w:t>
            </w:r>
          </w:p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C8D" w:rsidRDefault="00D90C8D" w:rsidP="00C425B0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lastRenderedPageBreak/>
              <w:t>1、在优学派平板上画图，可以利用投屏功能适时展示学生画图的过</w:t>
            </w:r>
            <w:r>
              <w:rPr>
                <w:rFonts w:ascii="仿宋_GB2312" w:eastAsia="仿宋_GB2312" w:hAnsi="楷体" w:hint="eastAsia"/>
                <w:sz w:val="24"/>
              </w:rPr>
              <w:lastRenderedPageBreak/>
              <w:t>程，学生提交作业后可以立马调出进行观察、比较分析。</w:t>
            </w:r>
          </w:p>
          <w:p w:rsidR="00D90C8D" w:rsidRDefault="00D90C8D" w:rsidP="00C425B0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2、利用优学派的截屏功能，把有代表性的作品截屏发给学生再次深入研究。</w:t>
            </w:r>
          </w:p>
        </w:tc>
      </w:tr>
      <w:tr w:rsidR="00D90C8D" w:rsidTr="00C425B0">
        <w:trPr>
          <w:trHeight w:val="461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lastRenderedPageBreak/>
              <w:t>易错练习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35’41”-44 ’00”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典型题练习，落到实处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学生进行练习，并及时根据完成情况给予指导</w:t>
            </w: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学生在平板上练习，再分析改错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C8D" w:rsidRDefault="00D90C8D" w:rsidP="00C425B0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利用优学派的选择题功能，能快速反馈学生完成情况以及出错的学生，进行针对性指导</w:t>
            </w:r>
          </w:p>
        </w:tc>
      </w:tr>
      <w:tr w:rsidR="00D90C8D" w:rsidTr="00C425B0">
        <w:trPr>
          <w:trHeight w:val="461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反思小结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44’01”-45 ’00”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回头看，小结方法，为后续学习作铺垫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引导学生回头看，说说这节课有什么新的收获可以为以后所用</w:t>
            </w: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想一想</w:t>
            </w:r>
          </w:p>
          <w:p w:rsidR="00D90C8D" w:rsidRDefault="00D90C8D" w:rsidP="00C425B0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说一说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C8D" w:rsidRDefault="00D90C8D" w:rsidP="00C425B0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无</w:t>
            </w:r>
          </w:p>
        </w:tc>
      </w:tr>
      <w:tr w:rsidR="00D90C8D" w:rsidTr="00C425B0">
        <w:trPr>
          <w:trHeight w:val="461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C8D" w:rsidRDefault="00D90C8D" w:rsidP="00C425B0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六、教学流程图</w:t>
            </w:r>
          </w:p>
        </w:tc>
      </w:tr>
      <w:tr w:rsidR="00D90C8D" w:rsidTr="00C425B0">
        <w:trPr>
          <w:trHeight w:val="887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C8D" w:rsidRDefault="00D90C8D" w:rsidP="00C425B0">
            <w:p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  </w:t>
            </w:r>
          </w:p>
          <w:p w:rsidR="00D90C8D" w:rsidRDefault="00D90C8D" w:rsidP="00C425B0">
            <w:pPr>
              <w:ind w:firstLineChars="100" w:firstLine="210"/>
              <w:jc w:val="left"/>
              <w:rPr>
                <w:rFonts w:ascii="仿宋_GB2312" w:eastAsia="仿宋_GB2312" w:hAnsi="楷体"/>
                <w:sz w:val="24"/>
              </w:rPr>
            </w:pPr>
            <w:r w:rsidRPr="002E0874"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125.7pt;margin-top:10.5pt;width:29.5pt;height:7.15pt;z-index:251660288"/>
              </w:pict>
            </w:r>
            <w:r w:rsidRPr="002E0874">
              <w:pict>
                <v:rect id="_x0000_s1027" style="position:absolute;left:0;text-align:left;margin-left:10.45pt;margin-top:4.9pt;width:115pt;height:24.75pt;z-index:-251655168"/>
              </w:pict>
            </w:r>
            <w:r>
              <w:rPr>
                <w:rFonts w:ascii="仿宋_GB2312" w:eastAsia="仿宋_GB2312" w:hAnsi="楷体" w:hint="eastAsia"/>
                <w:sz w:val="24"/>
              </w:rPr>
              <w:t>有序回顾，提炼方法       割、补、割补、拼接、割+拼</w:t>
            </w:r>
          </w:p>
          <w:p w:rsidR="00D90C8D" w:rsidRDefault="00D90C8D" w:rsidP="00C425B0">
            <w:pPr>
              <w:jc w:val="left"/>
              <w:rPr>
                <w:rFonts w:ascii="仿宋_GB2312" w:eastAsia="仿宋_GB2312" w:hAnsi="楷体"/>
                <w:sz w:val="24"/>
              </w:rPr>
            </w:pPr>
            <w:r w:rsidRPr="002E0874"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8" type="#_x0000_t67" style="position:absolute;margin-left:62.8pt;margin-top:1.25pt;width:7.15pt;height:26.85pt;z-index:251662336">
                  <v:textbox style="layout-flow:vertical-ideographic"/>
                </v:shape>
              </w:pict>
            </w:r>
            <w:r>
              <w:rPr>
                <w:rFonts w:ascii="仿宋_GB2312" w:eastAsia="仿宋_GB2312" w:hAnsi="楷体" w:hint="eastAsia"/>
                <w:sz w:val="24"/>
              </w:rPr>
              <w:t xml:space="preserve">                                                        </w:t>
            </w:r>
          </w:p>
          <w:p w:rsidR="00D90C8D" w:rsidRDefault="00D90C8D" w:rsidP="00C425B0">
            <w:pPr>
              <w:ind w:firstLineChars="100" w:firstLine="210"/>
              <w:jc w:val="left"/>
              <w:rPr>
                <w:rFonts w:ascii="仿宋_GB2312" w:eastAsia="仿宋_GB2312" w:hAnsi="楷体"/>
                <w:sz w:val="24"/>
              </w:rPr>
            </w:pPr>
            <w:r w:rsidRPr="002E0874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231.2pt;margin-top:15.55pt;width:15pt;height:0;z-index:251665408" o:connectortype="straight">
                  <v:stroke endarrow="block"/>
                </v:shape>
              </w:pict>
            </w:r>
            <w:r w:rsidRPr="002E0874">
              <w:pict>
                <v:shape id="_x0000_s1030" type="#_x0000_t32" style="position:absolute;left:0;text-align:left;margin-left:315.75pt;margin-top:16.3pt;width:15pt;height:0;z-index:251664384" o:connectortype="straight">
                  <v:stroke endarrow="block"/>
                </v:shape>
              </w:pict>
            </w:r>
            <w:r w:rsidRPr="002E0874">
              <w:pict>
                <v:shape id="_x0000_s1029" type="#_x0000_t32" style="position:absolute;left:0;text-align:left;margin-left:372.25pt;margin-top:15.2pt;width:15pt;height:0;z-index:251663360" o:connectortype="straight">
                  <v:stroke endarrow="block"/>
                </v:shape>
              </w:pict>
            </w:r>
            <w:r w:rsidRPr="002E0874">
              <w:pict>
                <v:shape id="_x0000_s1032" type="#_x0000_t13" style="position:absolute;left:0;text-align:left;margin-left:127.45pt;margin-top:21.6pt;width:29.5pt;height:7.15pt;z-index:251666432"/>
              </w:pict>
            </w:r>
            <w:r w:rsidRPr="002E0874">
              <w:pict>
                <v:shape id="_x0000_s1033" type="#_x0000_t67" style="position:absolute;left:0;text-align:left;margin-left:63.05pt;margin-top:29.1pt;width:7.15pt;height:26.85pt;z-index:251667456">
                  <v:textbox style="layout-flow:vertical-ideographic"/>
                </v:shape>
              </w:pict>
            </w:r>
            <w:r w:rsidRPr="002E0874">
              <w:pict>
                <v:rect id="_x0000_s1034" style="position:absolute;left:0;text-align:left;margin-left:11.2pt;margin-top:1.3pt;width:115pt;height:24.75pt;z-index:-251648000"/>
              </w:pict>
            </w:r>
            <w:r>
              <w:rPr>
                <w:rFonts w:ascii="仿宋_GB2312" w:eastAsia="仿宋_GB2312" w:hAnsi="楷体" w:hint="eastAsia"/>
                <w:sz w:val="24"/>
              </w:rPr>
              <w:t xml:space="preserve">逐步梳理，连点成线  </w:t>
            </w:r>
            <w:r w:rsidRPr="00E3211A">
              <w:rPr>
                <w:rFonts w:ascii="仿宋_GB2312" w:eastAsia="仿宋_GB2312" w:hAnsi="楷体" w:hint="eastAsia"/>
                <w:sz w:val="18"/>
                <w:szCs w:val="18"/>
              </w:rPr>
              <w:t>生长</w:t>
            </w:r>
            <w:r>
              <w:rPr>
                <w:rFonts w:ascii="仿宋_GB2312" w:eastAsia="仿宋_GB2312" w:hAnsi="楷体" w:hint="eastAsia"/>
                <w:sz w:val="24"/>
              </w:rPr>
              <w:t xml:space="preserve">  长（正）方形   平行四边形    三角形   梯形</w:t>
            </w:r>
          </w:p>
          <w:p w:rsidR="00D90C8D" w:rsidRDefault="00D90C8D" w:rsidP="00C425B0">
            <w:pPr>
              <w:jc w:val="left"/>
              <w:rPr>
                <w:rFonts w:ascii="仿宋_GB2312" w:eastAsia="仿宋_GB2312" w:hAnsi="楷体"/>
                <w:sz w:val="24"/>
              </w:rPr>
            </w:pPr>
            <w:r w:rsidRPr="002E0874">
              <w:pict>
                <v:rect id="_x0000_s1035" style="position:absolute;margin-left:11.45pt;margin-top:30.15pt;width:115pt;height:24.75pt;z-index:-251646976"/>
              </w:pict>
            </w:r>
            <w:r>
              <w:rPr>
                <w:rFonts w:ascii="仿宋_GB2312" w:eastAsia="仿宋_GB2312" w:hAnsi="楷体" w:hint="eastAsia"/>
                <w:sz w:val="24"/>
              </w:rPr>
              <w:t xml:space="preserve"> </w:t>
            </w:r>
          </w:p>
          <w:p w:rsidR="00D90C8D" w:rsidRDefault="00D90C8D" w:rsidP="00C425B0">
            <w:pPr>
              <w:ind w:firstLineChars="100" w:firstLine="210"/>
              <w:jc w:val="left"/>
              <w:rPr>
                <w:rFonts w:ascii="仿宋_GB2312" w:eastAsia="仿宋_GB2312" w:hAnsi="楷体"/>
                <w:sz w:val="24"/>
              </w:rPr>
            </w:pPr>
            <w:r w:rsidRPr="002E0874">
              <w:pict>
                <v:shape id="_x0000_s1037" type="#_x0000_t32" style="position:absolute;left:0;text-align:left;margin-left:321.2pt;margin-top:15.9pt;width:18.15pt;height:.95pt;flip:x;z-index:251671552" o:connectortype="straight">
                  <v:stroke endarrow="block"/>
                </v:shape>
              </w:pict>
            </w:r>
            <w:r w:rsidRPr="002E0874">
              <w:pict>
                <v:shape id="_x0000_s1036" type="#_x0000_t32" style="position:absolute;left:0;text-align:left;margin-left:379.45pt;margin-top:16.15pt;width:10.75pt;height:.95pt;flip:x;z-index:251670528" o:connectortype="straight">
                  <v:stroke endarrow="block"/>
                </v:shape>
              </w:pict>
            </w:r>
            <w:r w:rsidRPr="002E0874">
              <w:pict>
                <v:shape id="_x0000_s1038" type="#_x0000_t32" style="position:absolute;left:0;text-align:left;margin-left:237.95pt;margin-top:17.45pt;width:14.75pt;height:.95pt;flip:x;z-index:251672576" o:connectortype="straight">
                  <v:stroke endarrow="block"/>
                </v:shape>
              </w:pict>
            </w:r>
            <w:r w:rsidRPr="002E0874">
              <w:pict>
                <v:shape id="_x0000_s1039" type="#_x0000_t13" style="position:absolute;left:0;text-align:left;margin-left:127.7pt;margin-top:18.4pt;width:29.5pt;height:7.15pt;z-index:251673600"/>
              </w:pict>
            </w:r>
            <w:r>
              <w:rPr>
                <w:rFonts w:ascii="仿宋_GB2312" w:eastAsia="仿宋_GB2312" w:hAnsi="楷体" w:hint="eastAsia"/>
                <w:sz w:val="24"/>
              </w:rPr>
              <w:t xml:space="preserve">沟通联系，体会转化   </w:t>
            </w:r>
            <w:r w:rsidRPr="00E3211A">
              <w:rPr>
                <w:rFonts w:ascii="仿宋_GB2312" w:eastAsia="仿宋_GB2312" w:hAnsi="楷体" w:hint="eastAsia"/>
                <w:sz w:val="18"/>
                <w:szCs w:val="18"/>
              </w:rPr>
              <w:t>转化</w:t>
            </w:r>
            <w:r>
              <w:rPr>
                <w:rFonts w:ascii="仿宋_GB2312" w:eastAsia="仿宋_GB2312" w:hAnsi="楷体" w:hint="eastAsia"/>
                <w:sz w:val="24"/>
              </w:rPr>
              <w:t xml:space="preserve">  长（正）方形   平行四边形    三角形   梯形</w:t>
            </w:r>
          </w:p>
          <w:p w:rsidR="00D90C8D" w:rsidRDefault="00D90C8D" w:rsidP="00C425B0">
            <w:pPr>
              <w:jc w:val="left"/>
              <w:rPr>
                <w:rFonts w:ascii="仿宋_GB2312" w:eastAsia="仿宋_GB2312" w:hAnsi="楷体"/>
                <w:sz w:val="24"/>
              </w:rPr>
            </w:pPr>
            <w:r w:rsidRPr="002E0874">
              <w:lastRenderedPageBreak/>
              <w:pict>
                <v:shape id="_x0000_s1040" type="#_x0000_t67" style="position:absolute;margin-left:63.3pt;margin-top:6.2pt;width:7.15pt;height:26.85pt;z-index:251674624">
                  <v:textbox style="layout-flow:vertical-ideographic"/>
                </v:shape>
              </w:pict>
            </w:r>
            <w:r>
              <w:rPr>
                <w:rFonts w:ascii="仿宋_GB2312" w:eastAsia="仿宋_GB2312" w:hAnsi="楷体" w:hint="eastAsia"/>
                <w:sz w:val="24"/>
              </w:rPr>
              <w:t xml:space="preserve">  </w:t>
            </w:r>
          </w:p>
          <w:p w:rsidR="00D90C8D" w:rsidRDefault="00D90C8D" w:rsidP="00C425B0">
            <w:pPr>
              <w:ind w:firstLineChars="150" w:firstLine="315"/>
              <w:jc w:val="left"/>
              <w:rPr>
                <w:rFonts w:ascii="仿宋_GB2312" w:eastAsia="仿宋_GB2312" w:hAnsi="楷体"/>
                <w:sz w:val="24"/>
              </w:rPr>
            </w:pPr>
            <w:r w:rsidRPr="002E0874">
              <w:pict>
                <v:shape id="_x0000_s1041" type="#_x0000_t13" style="position:absolute;left:0;text-align:left;margin-left:130.45pt;margin-top:12.6pt;width:29.5pt;height:7.15pt;z-index:251675648"/>
              </w:pict>
            </w:r>
            <w:r w:rsidRPr="002E0874">
              <w:pict>
                <v:rect id="_x0000_s1042" style="position:absolute;left:0;text-align:left;margin-left:11.7pt;margin-top:2.2pt;width:115pt;height:24.75pt;z-index:-251639808"/>
              </w:pict>
            </w:r>
            <w:r>
              <w:rPr>
                <w:rFonts w:ascii="仿宋_GB2312" w:eastAsia="仿宋_GB2312" w:hAnsi="楷体" w:hint="eastAsia"/>
                <w:sz w:val="24"/>
              </w:rPr>
              <w:t>变式提升，等积变形      体会梯形公式的“万能”</w:t>
            </w:r>
          </w:p>
          <w:p w:rsidR="00D90C8D" w:rsidRDefault="00D90C8D" w:rsidP="00C425B0">
            <w:pPr>
              <w:jc w:val="left"/>
              <w:rPr>
                <w:rFonts w:ascii="仿宋_GB2312" w:eastAsia="仿宋_GB2312" w:hAnsi="楷体"/>
                <w:sz w:val="24"/>
              </w:rPr>
            </w:pPr>
            <w:r w:rsidRPr="002E0874">
              <w:pict>
                <v:shape id="_x0000_s1043" type="#_x0000_t67" style="position:absolute;margin-left:63.05pt;margin-top:1.15pt;width:7.15pt;height:26.85pt;z-index:251677696">
                  <v:textbox style="layout-flow:vertical-ideographic"/>
                </v:shape>
              </w:pict>
            </w:r>
            <w:r>
              <w:rPr>
                <w:rFonts w:ascii="仿宋_GB2312" w:eastAsia="仿宋_GB2312" w:hAnsi="楷体" w:hint="eastAsia"/>
                <w:sz w:val="24"/>
              </w:rPr>
              <w:t xml:space="preserve">  </w:t>
            </w:r>
          </w:p>
          <w:p w:rsidR="00D90C8D" w:rsidRDefault="00D90C8D" w:rsidP="00C425B0">
            <w:p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/>
                <w:noProof/>
                <w:sz w:val="24"/>
              </w:rPr>
              <w:pict>
                <v:shape id="_x0000_s1047" type="#_x0000_t13" style="position:absolute;margin-left:129.7pt;margin-top:10.8pt;width:29.5pt;height:7.15pt;z-index:251681792"/>
              </w:pict>
            </w:r>
            <w:r>
              <w:rPr>
                <w:rFonts w:ascii="仿宋_GB2312" w:eastAsia="仿宋_GB2312" w:hAnsi="楷体"/>
                <w:noProof/>
                <w:sz w:val="24"/>
              </w:rPr>
              <w:pict>
                <v:rect id="_x0000_s1044" style="position:absolute;margin-left:11.9pt;margin-top:1.8pt;width:116.05pt;height:25.5pt;z-index:-251637760"/>
              </w:pict>
            </w:r>
            <w:r>
              <w:rPr>
                <w:rFonts w:ascii="仿宋_GB2312" w:eastAsia="仿宋_GB2312" w:hAnsi="楷体" w:hint="eastAsia"/>
                <w:sz w:val="24"/>
              </w:rPr>
              <w:t xml:space="preserve">   易错练习，落到实处      思考为什么会错，以后怎样避免</w:t>
            </w:r>
          </w:p>
          <w:p w:rsidR="00D90C8D" w:rsidRDefault="00D90C8D" w:rsidP="00C425B0">
            <w:pPr>
              <w:ind w:firstLineChars="150" w:firstLine="36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/>
                <w:noProof/>
                <w:sz w:val="24"/>
              </w:rPr>
              <w:pict>
                <v:shape id="_x0000_s1046" type="#_x0000_t67" style="position:absolute;left:0;text-align:left;margin-left:63.3pt;margin-top:2.15pt;width:7.15pt;height:26.85pt;z-index:251680768">
                  <v:textbox style="layout-flow:vertical-ideographic"/>
                </v:shape>
              </w:pict>
            </w:r>
          </w:p>
          <w:p w:rsidR="00D90C8D" w:rsidRDefault="00D90C8D" w:rsidP="00C425B0">
            <w:pPr>
              <w:ind w:firstLineChars="150" w:firstLine="36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/>
                <w:noProof/>
                <w:sz w:val="24"/>
              </w:rPr>
              <w:pict>
                <v:shape id="_x0000_s1048" type="#_x0000_t13" style="position:absolute;left:0;text-align:left;margin-left:130.2pt;margin-top:11.4pt;width:29.5pt;height:7.15pt;z-index:251682816"/>
              </w:pict>
            </w:r>
            <w:r>
              <w:rPr>
                <w:rFonts w:ascii="仿宋_GB2312" w:eastAsia="仿宋_GB2312" w:hAnsi="楷体"/>
                <w:noProof/>
                <w:sz w:val="24"/>
              </w:rPr>
              <w:pict>
                <v:rect id="_x0000_s1045" style="position:absolute;left:0;text-align:left;margin-left:12.2pt;margin-top:1.95pt;width:116pt;height:25.5pt;z-index:-251636736"/>
              </w:pict>
            </w:r>
            <w:r>
              <w:rPr>
                <w:rFonts w:ascii="仿宋_GB2312" w:eastAsia="仿宋_GB2312" w:hAnsi="楷体" w:hint="eastAsia"/>
                <w:sz w:val="24"/>
              </w:rPr>
              <w:t>回头看看，反思小结      哪些思想和方法可以为以后的学习所用</w:t>
            </w:r>
          </w:p>
        </w:tc>
      </w:tr>
    </w:tbl>
    <w:p w:rsidR="00D90C8D" w:rsidRDefault="00D90C8D" w:rsidP="00D90C8D">
      <w:pPr>
        <w:adjustRightInd w:val="0"/>
        <w:snapToGrid w:val="0"/>
        <w:spacing w:line="440" w:lineRule="exact"/>
        <w:rPr>
          <w:rFonts w:ascii="仿宋_GB2312" w:eastAsia="仿宋_GB2312" w:hAnsi="楷体"/>
          <w:kern w:val="0"/>
        </w:rPr>
      </w:pPr>
      <w:r>
        <w:rPr>
          <w:rFonts w:ascii="仿宋_GB2312" w:eastAsia="仿宋_GB2312" w:hAnsi="楷体" w:hint="eastAsia"/>
          <w:kern w:val="0"/>
        </w:rPr>
        <w:lastRenderedPageBreak/>
        <w:t>注：此模板可另附纸，为教学案例和教学论文的发表奠定基础。</w:t>
      </w:r>
    </w:p>
    <w:p w:rsidR="00703B35" w:rsidRDefault="00703B35" w:rsidP="00D90C8D"/>
    <w:sectPr w:rsidR="00703B35" w:rsidSect="00D90C8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0C8D"/>
    <w:rsid w:val="00703B35"/>
    <w:rsid w:val="00D9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8"/>
        <o:r id="V:Rule3" type="connector" idref="#_x0000_s1030"/>
        <o:r id="V:Rule4" type="connector" idref="#_x0000_s1029"/>
        <o:r id="V:Rule5" type="connector" idref="#_x0000_s1037"/>
        <o:r id="V:Rule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2020-01-09T05:39:00Z</dcterms:created>
  <dcterms:modified xsi:type="dcterms:W3CDTF">2020-01-09T05:40:00Z</dcterms:modified>
</cp:coreProperties>
</file>